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A0" w:rsidRPr="004115A0" w:rsidRDefault="004115A0">
      <w:pPr>
        <w:spacing w:after="160" w:line="259" w:lineRule="auto"/>
        <w:rPr>
          <w:rFonts w:ascii="Arial" w:hAnsi="Arial" w:cs="Arial"/>
        </w:rPr>
      </w:pPr>
    </w:p>
    <w:p w:rsidR="00B071C1" w:rsidRDefault="00B071C1" w:rsidP="00D11A63">
      <w:pPr>
        <w:tabs>
          <w:tab w:val="left" w:pos="2595"/>
        </w:tabs>
        <w:jc w:val="center"/>
        <w:rPr>
          <w:rFonts w:ascii="Arial" w:hAnsi="Arial" w:cs="Arial"/>
        </w:rPr>
      </w:pPr>
    </w:p>
    <w:p w:rsidR="00B071C1" w:rsidRDefault="00B071C1" w:rsidP="00D11A63">
      <w:pPr>
        <w:tabs>
          <w:tab w:val="left" w:pos="2595"/>
        </w:tabs>
        <w:jc w:val="center"/>
        <w:rPr>
          <w:rFonts w:ascii="Arial" w:hAnsi="Arial" w:cs="Arial"/>
        </w:rPr>
      </w:pPr>
    </w:p>
    <w:p w:rsidR="000F4E9A" w:rsidRPr="00471BE6" w:rsidRDefault="000F4E9A" w:rsidP="000F4E9A">
      <w:pPr>
        <w:shd w:val="clear" w:color="auto" w:fill="FFFFFF"/>
        <w:jc w:val="center"/>
        <w:outlineLvl w:val="0"/>
        <w:rPr>
          <w:rFonts w:ascii="Trajan Pro" w:hAnsi="Trajan Pro" w:cs="Arial"/>
          <w:b/>
          <w:bCs/>
          <w:kern w:val="36"/>
          <w:sz w:val="44"/>
        </w:rPr>
      </w:pPr>
      <w:r w:rsidRPr="00471BE6">
        <w:rPr>
          <w:rFonts w:ascii="Trajan Pro" w:hAnsi="Trajan Pro" w:cs="Arial"/>
          <w:b/>
          <w:bCs/>
          <w:kern w:val="36"/>
          <w:sz w:val="44"/>
        </w:rPr>
        <w:t>SPECIAL RELEASE</w:t>
      </w:r>
    </w:p>
    <w:p w:rsidR="000F4E9A" w:rsidRPr="00B12EAB" w:rsidRDefault="000F4E9A" w:rsidP="000F4E9A">
      <w:pPr>
        <w:shd w:val="clear" w:color="auto" w:fill="FFFFFF"/>
        <w:jc w:val="center"/>
        <w:outlineLvl w:val="0"/>
        <w:rPr>
          <w:rFonts w:ascii="Trajan Pro" w:hAnsi="Trajan Pro" w:cs="Arial"/>
          <w:b/>
          <w:bCs/>
          <w:kern w:val="36"/>
          <w:sz w:val="28"/>
        </w:rPr>
      </w:pPr>
      <w:r w:rsidRPr="00B12EAB">
        <w:rPr>
          <w:rFonts w:ascii="Trajan Pro" w:hAnsi="Trajan Pro" w:cs="Arial"/>
          <w:b/>
          <w:bCs/>
          <w:kern w:val="36"/>
          <w:sz w:val="28"/>
        </w:rPr>
        <w:t>____________</w:t>
      </w:r>
      <w:r>
        <w:rPr>
          <w:rFonts w:ascii="Trajan Pro" w:hAnsi="Trajan Pro" w:cs="Arial"/>
          <w:b/>
          <w:bCs/>
          <w:kern w:val="36"/>
          <w:sz w:val="28"/>
        </w:rPr>
        <w:t>_____________________</w:t>
      </w:r>
      <w:r w:rsidRPr="00B12EAB">
        <w:rPr>
          <w:rFonts w:ascii="Trajan Pro" w:hAnsi="Trajan Pro" w:cs="Arial"/>
          <w:b/>
          <w:bCs/>
          <w:kern w:val="36"/>
          <w:sz w:val="28"/>
        </w:rPr>
        <w:t>__________________________</w:t>
      </w:r>
    </w:p>
    <w:p w:rsidR="00D15CF2" w:rsidRDefault="00D15CF2" w:rsidP="000F4E9A"/>
    <w:p w:rsidR="00A3407C" w:rsidRDefault="00A3407C" w:rsidP="00E52AF0">
      <w:pPr>
        <w:jc w:val="center"/>
        <w:rPr>
          <w:rFonts w:ascii="Arial" w:hAnsi="Arial" w:cs="Arial"/>
          <w:b/>
        </w:rPr>
      </w:pPr>
      <w:r>
        <w:rPr>
          <w:rFonts w:ascii="Arial" w:hAnsi="Arial" w:cs="Arial"/>
          <w:b/>
        </w:rPr>
        <w:t xml:space="preserve">Region X had the Biggest Volume of Traded Commodities </w:t>
      </w:r>
    </w:p>
    <w:p w:rsidR="00E52AF0" w:rsidRPr="00A34B11" w:rsidRDefault="00563C52" w:rsidP="00E52AF0">
      <w:pPr>
        <w:jc w:val="center"/>
        <w:rPr>
          <w:rFonts w:ascii="Arial" w:hAnsi="Arial" w:cs="Arial"/>
          <w:b/>
        </w:rPr>
      </w:pPr>
      <w:proofErr w:type="gramStart"/>
      <w:r>
        <w:rPr>
          <w:rFonts w:ascii="Arial" w:hAnsi="Arial" w:cs="Arial"/>
          <w:b/>
        </w:rPr>
        <w:t>during</w:t>
      </w:r>
      <w:proofErr w:type="gramEnd"/>
      <w:r w:rsidR="00A3407C">
        <w:rPr>
          <w:rFonts w:ascii="Arial" w:hAnsi="Arial" w:cs="Arial"/>
          <w:b/>
        </w:rPr>
        <w:t xml:space="preserve"> the First Quarter of 2019</w:t>
      </w:r>
    </w:p>
    <w:p w:rsidR="008C0474" w:rsidRPr="00A34B11" w:rsidRDefault="008C0474" w:rsidP="008C0474">
      <w:pPr>
        <w:rPr>
          <w:rFonts w:ascii="Arial" w:hAnsi="Arial" w:cs="Arial"/>
        </w:rPr>
      </w:pPr>
    </w:p>
    <w:p w:rsidR="00381BB9" w:rsidRDefault="00381BB9" w:rsidP="008C0474">
      <w:pPr>
        <w:pStyle w:val="Heading3"/>
        <w:jc w:val="left"/>
        <w:rPr>
          <w:rFonts w:cs="Arial"/>
          <w:b w:val="0"/>
          <w:iCs/>
          <w:sz w:val="22"/>
          <w:szCs w:val="22"/>
        </w:rPr>
      </w:pPr>
    </w:p>
    <w:p w:rsidR="008C0474" w:rsidRPr="00381BB9" w:rsidRDefault="008C0474" w:rsidP="008C0474">
      <w:pPr>
        <w:pStyle w:val="Heading3"/>
        <w:jc w:val="left"/>
        <w:rPr>
          <w:rFonts w:cs="Arial"/>
          <w:b w:val="0"/>
          <w:bCs w:val="0"/>
          <w:iCs/>
          <w:sz w:val="22"/>
          <w:szCs w:val="22"/>
          <w:u w:val="single"/>
        </w:rPr>
      </w:pPr>
      <w:r w:rsidRPr="00381BB9">
        <w:rPr>
          <w:rFonts w:cs="Arial"/>
          <w:b w:val="0"/>
          <w:iCs/>
          <w:sz w:val="22"/>
          <w:szCs w:val="22"/>
        </w:rPr>
        <w:t>Date of Release: _</w:t>
      </w:r>
      <w:r w:rsidR="000F486F">
        <w:rPr>
          <w:rFonts w:cs="Arial"/>
          <w:b w:val="0"/>
          <w:iCs/>
          <w:sz w:val="22"/>
          <w:szCs w:val="22"/>
          <w:u w:val="single"/>
        </w:rPr>
        <w:t>26 September 2019</w:t>
      </w:r>
      <w:r w:rsidRPr="00381BB9">
        <w:rPr>
          <w:rFonts w:cs="Arial"/>
          <w:b w:val="0"/>
          <w:iCs/>
          <w:sz w:val="22"/>
          <w:szCs w:val="22"/>
        </w:rPr>
        <w:t>___</w:t>
      </w:r>
    </w:p>
    <w:p w:rsidR="008C0474" w:rsidRPr="000F486F" w:rsidRDefault="000F486F" w:rsidP="008C0474">
      <w:pPr>
        <w:rPr>
          <w:rFonts w:ascii="Arial" w:hAnsi="Arial" w:cs="Arial"/>
          <w:sz w:val="22"/>
          <w:szCs w:val="22"/>
          <w:u w:val="single"/>
        </w:rPr>
      </w:pPr>
      <w:r>
        <w:rPr>
          <w:rFonts w:ascii="Arial" w:hAnsi="Arial" w:cs="Arial"/>
          <w:sz w:val="22"/>
          <w:szCs w:val="22"/>
        </w:rPr>
        <w:t>Reference No. PSAX-SR-2019-</w:t>
      </w:r>
      <w:r>
        <w:rPr>
          <w:rFonts w:ascii="Arial" w:hAnsi="Arial" w:cs="Arial"/>
          <w:sz w:val="22"/>
          <w:szCs w:val="22"/>
          <w:u w:val="single"/>
        </w:rPr>
        <w:t>18</w:t>
      </w:r>
    </w:p>
    <w:p w:rsidR="00E851E9" w:rsidRDefault="00E851E9" w:rsidP="00D05D96">
      <w:pPr>
        <w:spacing w:line="360" w:lineRule="auto"/>
        <w:jc w:val="center"/>
        <w:rPr>
          <w:rFonts w:ascii="Arial" w:hAnsi="Arial" w:cs="Arial"/>
          <w:sz w:val="22"/>
          <w:szCs w:val="22"/>
        </w:rPr>
      </w:pPr>
    </w:p>
    <w:p w:rsidR="00332C16" w:rsidRDefault="00332C16" w:rsidP="00332C16">
      <w:pPr>
        <w:pStyle w:val="BodyText"/>
        <w:rPr>
          <w:rFonts w:eastAsia="Times New Roman"/>
          <w:b/>
          <w:bCs/>
          <w:sz w:val="22"/>
          <w:szCs w:val="22"/>
          <w:lang w:eastAsia="en-PH"/>
        </w:rPr>
      </w:pPr>
    </w:p>
    <w:p w:rsidR="00332C16" w:rsidRDefault="004356E4" w:rsidP="00332C16">
      <w:pPr>
        <w:pStyle w:val="BodyText"/>
        <w:rPr>
          <w:rFonts w:eastAsia="Times New Roman"/>
          <w:b/>
          <w:bCs/>
          <w:sz w:val="22"/>
          <w:szCs w:val="22"/>
          <w:lang w:eastAsia="en-PH"/>
        </w:rPr>
      </w:pPr>
      <w:r>
        <w:rPr>
          <w:rFonts w:eastAsia="Times New Roman"/>
          <w:b/>
          <w:bCs/>
          <w:sz w:val="22"/>
          <w:szCs w:val="22"/>
          <w:lang w:eastAsia="en-PH"/>
        </w:rPr>
        <w:t xml:space="preserve">Quantity of domestic trade </w:t>
      </w:r>
      <w:r w:rsidR="00A3407C">
        <w:rPr>
          <w:rFonts w:eastAsia="Times New Roman"/>
          <w:b/>
          <w:bCs/>
          <w:sz w:val="22"/>
          <w:szCs w:val="22"/>
          <w:lang w:eastAsia="en-PH"/>
        </w:rPr>
        <w:t xml:space="preserve">in Region X </w:t>
      </w:r>
      <w:r>
        <w:rPr>
          <w:rFonts w:eastAsia="Times New Roman"/>
          <w:b/>
          <w:bCs/>
          <w:sz w:val="22"/>
          <w:szCs w:val="22"/>
          <w:lang w:eastAsia="en-PH"/>
        </w:rPr>
        <w:t>accelerates to</w:t>
      </w:r>
      <w:r w:rsidR="00A3407C">
        <w:rPr>
          <w:rFonts w:eastAsia="Times New Roman"/>
          <w:b/>
          <w:bCs/>
          <w:sz w:val="22"/>
          <w:szCs w:val="22"/>
          <w:lang w:eastAsia="en-PH"/>
        </w:rPr>
        <w:t xml:space="preserve"> 1.59 million tons</w:t>
      </w:r>
    </w:p>
    <w:p w:rsidR="00361C48" w:rsidRPr="00361C48" w:rsidRDefault="00361C48" w:rsidP="00332C16">
      <w:pPr>
        <w:pStyle w:val="BodyText"/>
        <w:rPr>
          <w:rFonts w:eastAsia="Times New Roman"/>
          <w:b/>
          <w:bCs/>
          <w:sz w:val="22"/>
          <w:szCs w:val="22"/>
          <w:lang w:eastAsia="en-PH"/>
        </w:rPr>
      </w:pPr>
    </w:p>
    <w:p w:rsidR="004356E4" w:rsidRPr="004356E4" w:rsidRDefault="004356E4" w:rsidP="00D50828">
      <w:pPr>
        <w:shd w:val="clear" w:color="auto" w:fill="FFFFFF"/>
        <w:spacing w:before="96" w:after="192" w:line="276" w:lineRule="auto"/>
        <w:jc w:val="both"/>
        <w:rPr>
          <w:rFonts w:ascii="Arial" w:hAnsi="Arial" w:cs="Arial"/>
          <w:sz w:val="22"/>
          <w:szCs w:val="22"/>
          <w:lang w:eastAsia="en-PH" w:bidi="en-US"/>
        </w:rPr>
      </w:pPr>
      <w:r>
        <w:rPr>
          <w:rFonts w:ascii="Arial" w:hAnsi="Arial" w:cs="Arial"/>
          <w:sz w:val="22"/>
          <w:szCs w:val="22"/>
          <w:lang w:eastAsia="en-PH" w:bidi="en-US"/>
        </w:rPr>
        <w:t>During the first quarter of 2019, the region</w:t>
      </w:r>
      <w:r w:rsidR="002C4928">
        <w:rPr>
          <w:rFonts w:ascii="Arial" w:hAnsi="Arial" w:cs="Arial"/>
          <w:sz w:val="22"/>
          <w:szCs w:val="22"/>
          <w:lang w:eastAsia="en-PH" w:bidi="en-US"/>
        </w:rPr>
        <w:t xml:space="preserve">’s </w:t>
      </w:r>
      <w:r>
        <w:rPr>
          <w:rFonts w:ascii="Arial" w:hAnsi="Arial" w:cs="Arial"/>
          <w:sz w:val="22"/>
          <w:szCs w:val="22"/>
          <w:lang w:eastAsia="en-PH" w:bidi="en-US"/>
        </w:rPr>
        <w:t xml:space="preserve">total quantity of domestic trade </w:t>
      </w:r>
      <w:r w:rsidR="00CE70FE">
        <w:rPr>
          <w:rFonts w:ascii="Arial" w:hAnsi="Arial" w:cs="Arial"/>
          <w:sz w:val="22"/>
          <w:szCs w:val="22"/>
          <w:lang w:eastAsia="en-PH" w:bidi="en-US"/>
        </w:rPr>
        <w:t xml:space="preserve">totaled </w:t>
      </w:r>
      <w:r w:rsidR="002C4928">
        <w:rPr>
          <w:rFonts w:ascii="Arial" w:hAnsi="Arial" w:cs="Arial"/>
          <w:sz w:val="22"/>
          <w:szCs w:val="22"/>
          <w:lang w:eastAsia="en-PH" w:bidi="en-US"/>
        </w:rPr>
        <w:t>to</w:t>
      </w:r>
      <w:r>
        <w:rPr>
          <w:rFonts w:ascii="Arial" w:hAnsi="Arial" w:cs="Arial"/>
          <w:sz w:val="22"/>
          <w:szCs w:val="22"/>
          <w:lang w:eastAsia="en-PH" w:bidi="en-US"/>
        </w:rPr>
        <w:t xml:space="preserve">1.59 million tons, </w:t>
      </w:r>
      <w:r w:rsidRPr="004356E4">
        <w:rPr>
          <w:rFonts w:ascii="Arial" w:hAnsi="Arial" w:cs="Arial"/>
          <w:sz w:val="22"/>
          <w:szCs w:val="22"/>
          <w:lang w:eastAsia="en-PH" w:bidi="en-US"/>
        </w:rPr>
        <w:t xml:space="preserve">an increase of </w:t>
      </w:r>
      <w:r w:rsidR="003A1034">
        <w:rPr>
          <w:rFonts w:ascii="Arial" w:hAnsi="Arial" w:cs="Arial"/>
          <w:sz w:val="22"/>
          <w:szCs w:val="22"/>
          <w:lang w:eastAsia="en-PH" w:bidi="en-US"/>
        </w:rPr>
        <w:t>100.9</w:t>
      </w:r>
      <w:r w:rsidRPr="004356E4">
        <w:rPr>
          <w:rFonts w:ascii="Arial" w:hAnsi="Arial" w:cs="Arial"/>
          <w:sz w:val="22"/>
          <w:szCs w:val="22"/>
          <w:lang w:eastAsia="en-PH" w:bidi="en-US"/>
        </w:rPr>
        <w:t xml:space="preserve"> percent from the </w:t>
      </w:r>
      <w:r w:rsidR="003A1034">
        <w:rPr>
          <w:rFonts w:ascii="Arial" w:hAnsi="Arial" w:cs="Arial"/>
          <w:sz w:val="22"/>
          <w:szCs w:val="22"/>
          <w:lang w:eastAsia="en-PH" w:bidi="en-US"/>
        </w:rPr>
        <w:t>7.9 thousand</w:t>
      </w:r>
      <w:r w:rsidRPr="004356E4">
        <w:rPr>
          <w:rFonts w:ascii="Arial" w:hAnsi="Arial" w:cs="Arial"/>
          <w:sz w:val="22"/>
          <w:szCs w:val="22"/>
          <w:lang w:eastAsia="en-PH" w:bidi="en-US"/>
        </w:rPr>
        <w:t xml:space="preserve"> tons recorded in the </w:t>
      </w:r>
      <w:r w:rsidR="00CE70FE">
        <w:rPr>
          <w:rFonts w:ascii="Arial" w:hAnsi="Arial" w:cs="Arial"/>
          <w:sz w:val="22"/>
          <w:szCs w:val="22"/>
          <w:lang w:eastAsia="en-PH" w:bidi="en-US"/>
        </w:rPr>
        <w:t>same period of the previous year</w:t>
      </w:r>
      <w:r w:rsidRPr="004356E4">
        <w:rPr>
          <w:rFonts w:ascii="Arial" w:hAnsi="Arial" w:cs="Arial"/>
          <w:sz w:val="22"/>
          <w:szCs w:val="22"/>
          <w:lang w:eastAsia="en-PH" w:bidi="en-US"/>
        </w:rPr>
        <w:t xml:space="preserve"> (Figure 1).</w:t>
      </w:r>
    </w:p>
    <w:p w:rsidR="00CC7429" w:rsidRDefault="00CC7429" w:rsidP="003A1034">
      <w:pPr>
        <w:spacing w:line="360" w:lineRule="auto"/>
        <w:rPr>
          <w:rFonts w:ascii="Arial" w:hAnsi="Arial" w:cs="Arial"/>
          <w:sz w:val="22"/>
          <w:szCs w:val="22"/>
        </w:rPr>
      </w:pPr>
    </w:p>
    <w:p w:rsidR="00CC7429" w:rsidRDefault="000A6E10" w:rsidP="00D05D96">
      <w:pPr>
        <w:spacing w:line="360" w:lineRule="auto"/>
        <w:jc w:val="center"/>
        <w:rPr>
          <w:rFonts w:ascii="Arial" w:hAnsi="Arial" w:cs="Arial"/>
          <w:sz w:val="22"/>
          <w:szCs w:val="22"/>
        </w:rPr>
      </w:pPr>
      <w:r w:rsidRPr="00CC7429">
        <w:rPr>
          <w:rFonts w:ascii="Arial" w:hAnsi="Arial" w:cs="Arial"/>
          <w:noProof/>
          <w:sz w:val="22"/>
          <w:szCs w:val="22"/>
        </w:rPr>
        <w:drawing>
          <wp:inline distT="0" distB="0" distL="0" distR="0">
            <wp:extent cx="4791075" cy="2762250"/>
            <wp:effectExtent l="19050" t="0" r="9525"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56E4" w:rsidRDefault="004356E4" w:rsidP="004356E4">
      <w:pPr>
        <w:pStyle w:val="BodyText"/>
        <w:spacing w:line="276" w:lineRule="auto"/>
        <w:ind w:firstLine="720"/>
        <w:jc w:val="both"/>
        <w:rPr>
          <w:rFonts w:eastAsia="Times New Roman"/>
          <w:sz w:val="22"/>
          <w:szCs w:val="22"/>
          <w:lang w:eastAsia="en-PH"/>
        </w:rPr>
      </w:pPr>
    </w:p>
    <w:p w:rsidR="00A639F0" w:rsidRDefault="00A639F0" w:rsidP="00333689">
      <w:pPr>
        <w:pStyle w:val="BodyText"/>
        <w:spacing w:line="276" w:lineRule="auto"/>
        <w:jc w:val="both"/>
        <w:rPr>
          <w:rFonts w:eastAsia="Times New Roman"/>
          <w:sz w:val="22"/>
          <w:szCs w:val="22"/>
          <w:lang w:eastAsia="en-PH"/>
        </w:rPr>
      </w:pPr>
    </w:p>
    <w:p w:rsidR="006D0831" w:rsidRDefault="006D0831" w:rsidP="00D50828">
      <w:pPr>
        <w:shd w:val="clear" w:color="auto" w:fill="FFFFFF"/>
        <w:spacing w:before="96" w:after="192" w:line="276" w:lineRule="auto"/>
        <w:jc w:val="both"/>
        <w:rPr>
          <w:rFonts w:ascii="Trebuchet MS" w:hAnsi="Trebuchet MS"/>
          <w:color w:val="555555"/>
          <w:sz w:val="27"/>
          <w:szCs w:val="27"/>
          <w:lang w:eastAsia="en-PH"/>
        </w:rPr>
      </w:pPr>
      <w:proofErr w:type="gramStart"/>
      <w:r>
        <w:rPr>
          <w:rFonts w:ascii="Arial" w:hAnsi="Arial" w:cs="Arial"/>
          <w:b/>
          <w:sz w:val="22"/>
          <w:szCs w:val="22"/>
          <w:lang w:eastAsia="en-PH" w:bidi="en-US"/>
        </w:rPr>
        <w:t>Chemical and related p</w:t>
      </w:r>
      <w:r w:rsidRPr="006D0831">
        <w:rPr>
          <w:rFonts w:ascii="Arial" w:hAnsi="Arial" w:cs="Arial"/>
          <w:b/>
          <w:sz w:val="22"/>
          <w:szCs w:val="22"/>
          <w:lang w:eastAsia="en-PH" w:bidi="en-US"/>
        </w:rPr>
        <w:t xml:space="preserve">roducts, </w:t>
      </w:r>
      <w:proofErr w:type="spellStart"/>
      <w:r w:rsidRPr="006D0831">
        <w:rPr>
          <w:rFonts w:ascii="Arial" w:hAnsi="Arial" w:cs="Arial"/>
          <w:b/>
          <w:sz w:val="22"/>
          <w:szCs w:val="22"/>
          <w:lang w:eastAsia="en-PH" w:bidi="en-US"/>
        </w:rPr>
        <w:t>n.e.c</w:t>
      </w:r>
      <w:proofErr w:type="spellEnd"/>
      <w:r w:rsidRPr="006D0831">
        <w:rPr>
          <w:rFonts w:ascii="Arial" w:hAnsi="Arial" w:cs="Arial"/>
          <w:b/>
          <w:sz w:val="22"/>
          <w:szCs w:val="22"/>
          <w:lang w:eastAsia="en-PH" w:bidi="en-US"/>
        </w:rPr>
        <w:t>.</w:t>
      </w:r>
      <w:r>
        <w:rPr>
          <w:rFonts w:ascii="Arial" w:hAnsi="Arial" w:cs="Arial"/>
          <w:sz w:val="22"/>
          <w:szCs w:val="22"/>
          <w:lang w:eastAsia="en-PH" w:bidi="en-US"/>
        </w:rPr>
        <w:t xml:space="preserve"> commodities head in the highest total quantity of domestic trade in the region, with 0.64 million tons.</w:t>
      </w:r>
      <w:proofErr w:type="gramEnd"/>
      <w:r>
        <w:rPr>
          <w:rFonts w:ascii="Arial" w:hAnsi="Arial" w:cs="Arial"/>
          <w:sz w:val="22"/>
          <w:szCs w:val="22"/>
          <w:lang w:eastAsia="en-PH" w:bidi="en-US"/>
        </w:rPr>
        <w:t xml:space="preserve"> </w:t>
      </w:r>
      <w:r w:rsidR="00597504" w:rsidRPr="006D0831">
        <w:rPr>
          <w:rFonts w:ascii="Arial" w:hAnsi="Arial" w:cs="Arial"/>
          <w:b/>
          <w:sz w:val="22"/>
          <w:szCs w:val="22"/>
          <w:lang w:eastAsia="en-PH" w:bidi="en-US"/>
        </w:rPr>
        <w:t>Food and live animals</w:t>
      </w:r>
      <w:r w:rsidR="00597504" w:rsidRPr="006D0831">
        <w:rPr>
          <w:rFonts w:ascii="Arial" w:hAnsi="Arial" w:cs="Arial"/>
          <w:sz w:val="22"/>
          <w:szCs w:val="22"/>
          <w:lang w:eastAsia="en-PH" w:bidi="en-US"/>
        </w:rPr>
        <w:t xml:space="preserve"> </w:t>
      </w:r>
      <w:r w:rsidR="00A128F3">
        <w:rPr>
          <w:rFonts w:ascii="Arial" w:hAnsi="Arial" w:cs="Arial"/>
          <w:sz w:val="22"/>
          <w:szCs w:val="22"/>
          <w:lang w:eastAsia="en-PH" w:bidi="en-US"/>
        </w:rPr>
        <w:t xml:space="preserve">and </w:t>
      </w:r>
      <w:r w:rsidR="00A128F3" w:rsidRPr="00A128F3">
        <w:rPr>
          <w:rFonts w:ascii="Arial" w:hAnsi="Arial" w:cs="Arial"/>
          <w:b/>
          <w:sz w:val="22"/>
          <w:szCs w:val="22"/>
          <w:lang w:eastAsia="en-PH" w:bidi="en-US"/>
        </w:rPr>
        <w:t>manufactured</w:t>
      </w:r>
      <w:r w:rsidRPr="00A128F3">
        <w:rPr>
          <w:rFonts w:ascii="Arial" w:hAnsi="Arial" w:cs="Arial"/>
          <w:b/>
          <w:sz w:val="22"/>
          <w:szCs w:val="22"/>
          <w:lang w:eastAsia="en-PH" w:bidi="en-US"/>
        </w:rPr>
        <w:t xml:space="preserve"> goods </w:t>
      </w:r>
      <w:r w:rsidR="00A128F3" w:rsidRPr="00A128F3">
        <w:rPr>
          <w:rFonts w:ascii="Arial" w:hAnsi="Arial" w:cs="Arial"/>
          <w:b/>
          <w:sz w:val="22"/>
          <w:szCs w:val="22"/>
          <w:lang w:eastAsia="en-PH" w:bidi="en-US"/>
        </w:rPr>
        <w:t>classified chiefly</w:t>
      </w:r>
      <w:r w:rsidRPr="00A128F3">
        <w:rPr>
          <w:rFonts w:ascii="Arial" w:hAnsi="Arial" w:cs="Arial"/>
          <w:b/>
          <w:sz w:val="22"/>
          <w:szCs w:val="22"/>
          <w:lang w:eastAsia="en-PH" w:bidi="en-US"/>
        </w:rPr>
        <w:t xml:space="preserve"> by materials</w:t>
      </w:r>
      <w:r>
        <w:rPr>
          <w:rFonts w:ascii="Arial" w:hAnsi="Arial" w:cs="Arial"/>
          <w:sz w:val="22"/>
          <w:szCs w:val="22"/>
          <w:lang w:eastAsia="en-PH" w:bidi="en-US"/>
        </w:rPr>
        <w:t xml:space="preserve"> commodities ranked second and third with 0.43</w:t>
      </w:r>
      <w:r w:rsidR="00A128F3">
        <w:rPr>
          <w:rFonts w:ascii="Arial" w:hAnsi="Arial" w:cs="Arial"/>
          <w:sz w:val="22"/>
          <w:szCs w:val="22"/>
          <w:lang w:eastAsia="en-PH" w:bidi="en-US"/>
        </w:rPr>
        <w:t xml:space="preserve"> </w:t>
      </w:r>
      <w:r w:rsidR="00AD7A93">
        <w:rPr>
          <w:rFonts w:ascii="Arial" w:hAnsi="Arial" w:cs="Arial"/>
          <w:sz w:val="22"/>
          <w:szCs w:val="22"/>
          <w:lang w:eastAsia="en-PH" w:bidi="en-US"/>
        </w:rPr>
        <w:t>million tons</w:t>
      </w:r>
      <w:r w:rsidR="00A128F3">
        <w:rPr>
          <w:rFonts w:ascii="Arial" w:hAnsi="Arial" w:cs="Arial"/>
          <w:sz w:val="22"/>
          <w:szCs w:val="22"/>
          <w:lang w:eastAsia="en-PH" w:bidi="en-US"/>
        </w:rPr>
        <w:t xml:space="preserve"> and 0.20 million tons, respectively.</w:t>
      </w:r>
      <w:r w:rsidR="00AD7A93">
        <w:rPr>
          <w:rFonts w:ascii="Arial" w:hAnsi="Arial" w:cs="Arial"/>
          <w:sz w:val="22"/>
          <w:szCs w:val="22"/>
          <w:lang w:eastAsia="en-PH" w:bidi="en-US"/>
        </w:rPr>
        <w:t xml:space="preserve"> Meanwhile, </w:t>
      </w:r>
      <w:r w:rsidR="00AD7A93" w:rsidRPr="00AD7A93">
        <w:rPr>
          <w:rFonts w:ascii="Arial" w:hAnsi="Arial" w:cs="Arial"/>
          <w:b/>
          <w:sz w:val="22"/>
          <w:szCs w:val="22"/>
          <w:lang w:eastAsia="en-PH" w:bidi="en-US"/>
        </w:rPr>
        <w:t>miscellaneous manufactured articles</w:t>
      </w:r>
      <w:r w:rsidR="00AD7A93">
        <w:rPr>
          <w:rFonts w:ascii="Arial" w:hAnsi="Arial" w:cs="Arial"/>
          <w:sz w:val="22"/>
          <w:szCs w:val="22"/>
          <w:lang w:eastAsia="en-PH" w:bidi="en-US"/>
        </w:rPr>
        <w:t xml:space="preserve"> had the lowest total quantity of domestic trade with 0.002 million tons</w:t>
      </w:r>
      <w:r w:rsidR="00C62984">
        <w:rPr>
          <w:rFonts w:ascii="Arial" w:hAnsi="Arial" w:cs="Arial"/>
          <w:sz w:val="22"/>
          <w:szCs w:val="22"/>
          <w:lang w:eastAsia="en-PH" w:bidi="en-US"/>
        </w:rPr>
        <w:t xml:space="preserve"> (Figure 2)</w:t>
      </w:r>
      <w:r w:rsidR="00AD7A93">
        <w:rPr>
          <w:rFonts w:ascii="Arial" w:hAnsi="Arial" w:cs="Arial"/>
          <w:sz w:val="22"/>
          <w:szCs w:val="22"/>
          <w:lang w:eastAsia="en-PH" w:bidi="en-US"/>
        </w:rPr>
        <w:t>.</w:t>
      </w:r>
    </w:p>
    <w:p w:rsidR="006D0831" w:rsidRPr="00C11637" w:rsidRDefault="006D0831" w:rsidP="00597504">
      <w:pPr>
        <w:shd w:val="clear" w:color="auto" w:fill="FFFFFF"/>
        <w:spacing w:before="96" w:after="192" w:line="360" w:lineRule="atLeast"/>
        <w:rPr>
          <w:rFonts w:ascii="Trebuchet MS" w:hAnsi="Trebuchet MS"/>
          <w:color w:val="555555"/>
          <w:sz w:val="27"/>
          <w:szCs w:val="27"/>
          <w:lang w:eastAsia="en-PH"/>
        </w:rPr>
      </w:pPr>
      <w:r w:rsidRPr="006D0831">
        <w:rPr>
          <w:rFonts w:ascii="Trebuchet MS" w:hAnsi="Trebuchet MS"/>
          <w:noProof/>
          <w:color w:val="555555"/>
          <w:sz w:val="27"/>
          <w:szCs w:val="27"/>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24525" cy="4162425"/>
            <wp:effectExtent l="19050" t="0" r="9525" b="0"/>
            <wp:wrapSquare wrapText="bothSides"/>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639F0" w:rsidRPr="009D2451" w:rsidRDefault="00C82DEF" w:rsidP="00D50828">
      <w:pPr>
        <w:pStyle w:val="BodyText"/>
        <w:spacing w:line="276" w:lineRule="auto"/>
        <w:jc w:val="both"/>
        <w:rPr>
          <w:rFonts w:eastAsia="Times New Roman"/>
          <w:sz w:val="22"/>
          <w:szCs w:val="22"/>
          <w:lang w:eastAsia="en-PH"/>
        </w:rPr>
      </w:pPr>
      <w:r>
        <w:rPr>
          <w:rFonts w:eastAsia="Times New Roman"/>
          <w:sz w:val="22"/>
          <w:szCs w:val="22"/>
          <w:lang w:eastAsia="en-PH"/>
        </w:rPr>
        <w:t>The region</w:t>
      </w:r>
      <w:r w:rsidR="004356E4" w:rsidRPr="003F7159">
        <w:rPr>
          <w:rFonts w:eastAsia="Times New Roman"/>
          <w:sz w:val="22"/>
          <w:szCs w:val="22"/>
          <w:lang w:eastAsia="en-PH"/>
        </w:rPr>
        <w:t> posted the highest quantity of traded commodities</w:t>
      </w:r>
      <w:r>
        <w:rPr>
          <w:rFonts w:eastAsia="Times New Roman"/>
          <w:sz w:val="22"/>
          <w:szCs w:val="22"/>
          <w:lang w:eastAsia="en-PH"/>
        </w:rPr>
        <w:t xml:space="preserve"> among the 17 regions of the country. </w:t>
      </w:r>
      <w:r w:rsidR="004356E4" w:rsidRPr="003F7159">
        <w:rPr>
          <w:rFonts w:eastAsia="Times New Roman"/>
          <w:sz w:val="22"/>
          <w:szCs w:val="22"/>
          <w:lang w:eastAsia="en-PH"/>
        </w:rPr>
        <w:t xml:space="preserve">Central Luzon and National Capital Region (NCR) </w:t>
      </w:r>
      <w:r>
        <w:rPr>
          <w:rFonts w:eastAsia="Times New Roman"/>
          <w:sz w:val="22"/>
          <w:szCs w:val="22"/>
          <w:lang w:eastAsia="en-PH"/>
        </w:rPr>
        <w:t xml:space="preserve">followed </w:t>
      </w:r>
      <w:r w:rsidR="004356E4" w:rsidRPr="003F7159">
        <w:rPr>
          <w:rFonts w:eastAsia="Times New Roman"/>
          <w:sz w:val="22"/>
          <w:szCs w:val="22"/>
          <w:lang w:eastAsia="en-PH"/>
        </w:rPr>
        <w:t>with 1.13 million tons and</w:t>
      </w:r>
      <w:r w:rsidR="00D2632B">
        <w:rPr>
          <w:rFonts w:eastAsia="Times New Roman"/>
          <w:sz w:val="22"/>
          <w:szCs w:val="22"/>
          <w:lang w:eastAsia="en-PH"/>
        </w:rPr>
        <w:t xml:space="preserve"> 0.72 mil</w:t>
      </w:r>
      <w:r w:rsidR="009D2451">
        <w:rPr>
          <w:rFonts w:eastAsia="Times New Roman"/>
          <w:sz w:val="22"/>
          <w:szCs w:val="22"/>
          <w:lang w:eastAsia="en-PH"/>
        </w:rPr>
        <w:t>lion tons respectively (Figure 3</w:t>
      </w:r>
      <w:r w:rsidR="00D2632B">
        <w:rPr>
          <w:rFonts w:eastAsia="Times New Roman"/>
          <w:sz w:val="22"/>
          <w:szCs w:val="22"/>
          <w:lang w:eastAsia="en-PH"/>
        </w:rPr>
        <w:t>).</w:t>
      </w:r>
    </w:p>
    <w:p w:rsidR="009D2451" w:rsidRDefault="00216C70" w:rsidP="00A355C9">
      <w:pPr>
        <w:shd w:val="clear" w:color="auto" w:fill="FFFFFF"/>
        <w:spacing w:before="100" w:beforeAutospacing="1" w:after="96" w:line="276" w:lineRule="auto"/>
        <w:outlineLvl w:val="2"/>
        <w:rPr>
          <w:rFonts w:ascii="Arial" w:hAnsi="Arial" w:cs="Arial"/>
          <w:b/>
          <w:bCs/>
          <w:color w:val="000000"/>
          <w:sz w:val="22"/>
          <w:szCs w:val="22"/>
          <w:lang w:eastAsia="en-PH"/>
        </w:rPr>
      </w:pPr>
      <w:r>
        <w:rPr>
          <w:rFonts w:ascii="Arial" w:hAnsi="Arial" w:cs="Arial"/>
          <w:b/>
          <w:bCs/>
          <w:noProof/>
          <w:color w:val="000000"/>
          <w:sz w:val="22"/>
          <w:szCs w:val="22"/>
        </w:rPr>
        <w:drawing>
          <wp:anchor distT="0" distB="0" distL="114300" distR="114300" simplePos="0" relativeHeight="251660288" behindDoc="0" locked="0" layoutInCell="1" allowOverlap="1">
            <wp:simplePos x="0" y="0"/>
            <wp:positionH relativeFrom="column">
              <wp:posOffset>-7620</wp:posOffset>
            </wp:positionH>
            <wp:positionV relativeFrom="paragraph">
              <wp:posOffset>428625</wp:posOffset>
            </wp:positionV>
            <wp:extent cx="5732145" cy="3439795"/>
            <wp:effectExtent l="19050" t="0" r="20955"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355C9" w:rsidRPr="00333689" w:rsidRDefault="00A355C9" w:rsidP="00A355C9">
      <w:pPr>
        <w:shd w:val="clear" w:color="auto" w:fill="FFFFFF"/>
        <w:spacing w:before="100" w:beforeAutospacing="1" w:after="96" w:line="276" w:lineRule="auto"/>
        <w:outlineLvl w:val="2"/>
        <w:rPr>
          <w:rFonts w:ascii="Arial" w:hAnsi="Arial" w:cs="Arial"/>
          <w:b/>
          <w:bCs/>
          <w:color w:val="000000"/>
          <w:sz w:val="22"/>
          <w:szCs w:val="22"/>
          <w:lang w:eastAsia="en-PH"/>
        </w:rPr>
      </w:pPr>
      <w:r>
        <w:rPr>
          <w:rFonts w:ascii="Arial" w:hAnsi="Arial" w:cs="Arial"/>
          <w:b/>
          <w:bCs/>
          <w:color w:val="000000"/>
          <w:sz w:val="22"/>
          <w:szCs w:val="22"/>
          <w:lang w:eastAsia="en-PH"/>
        </w:rPr>
        <w:lastRenderedPageBreak/>
        <w:t>Value of domestic trade increases by 14.9 percent in Region X</w:t>
      </w:r>
    </w:p>
    <w:p w:rsidR="0007275B" w:rsidRDefault="0007275B" w:rsidP="00D50828">
      <w:pPr>
        <w:shd w:val="clear" w:color="auto" w:fill="FFFFFF"/>
        <w:spacing w:before="100" w:beforeAutospacing="1" w:after="96" w:line="276" w:lineRule="auto"/>
        <w:jc w:val="both"/>
        <w:outlineLvl w:val="2"/>
        <w:rPr>
          <w:rFonts w:ascii="Arial" w:hAnsi="Arial" w:cs="Arial"/>
          <w:sz w:val="22"/>
          <w:szCs w:val="22"/>
          <w:lang w:eastAsia="en-PH" w:bidi="en-US"/>
        </w:rPr>
      </w:pPr>
      <w:r>
        <w:rPr>
          <w:rFonts w:ascii="Arial" w:hAnsi="Arial" w:cs="Arial"/>
          <w:sz w:val="22"/>
          <w:szCs w:val="22"/>
          <w:lang w:eastAsia="en-PH" w:bidi="en-US"/>
        </w:rPr>
        <w:t xml:space="preserve">The total value of domestic trade during the first quarter of 2019 increased by 14.9 percent </w:t>
      </w:r>
      <w:r w:rsidR="00697C02">
        <w:rPr>
          <w:rFonts w:ascii="Arial" w:hAnsi="Arial" w:cs="Arial"/>
          <w:sz w:val="22"/>
          <w:szCs w:val="22"/>
          <w:lang w:eastAsia="en-PH" w:bidi="en-US"/>
        </w:rPr>
        <w:t xml:space="preserve">amounting </w:t>
      </w:r>
      <w:r>
        <w:rPr>
          <w:rFonts w:ascii="Arial" w:hAnsi="Arial" w:cs="Arial"/>
          <w:sz w:val="22"/>
          <w:szCs w:val="22"/>
          <w:lang w:eastAsia="en-PH" w:bidi="en-US"/>
        </w:rPr>
        <w:t xml:space="preserve">to </w:t>
      </w:r>
      <w:proofErr w:type="spellStart"/>
      <w:r w:rsidR="00697C02">
        <w:rPr>
          <w:rFonts w:ascii="Arial" w:hAnsi="Arial" w:cs="Arial"/>
          <w:sz w:val="22"/>
          <w:szCs w:val="22"/>
          <w:lang w:eastAsia="en-PH" w:bidi="en-US"/>
        </w:rPr>
        <w:t>P</w:t>
      </w:r>
      <w:r w:rsidR="000E5220">
        <w:rPr>
          <w:rFonts w:ascii="Arial" w:hAnsi="Arial" w:cs="Arial"/>
          <w:sz w:val="22"/>
          <w:szCs w:val="22"/>
          <w:lang w:eastAsia="en-PH" w:bidi="en-US"/>
        </w:rPr>
        <w:t>h</w:t>
      </w:r>
      <w:r w:rsidR="00697C02">
        <w:rPr>
          <w:rFonts w:ascii="Arial" w:hAnsi="Arial" w:cs="Arial"/>
          <w:sz w:val="22"/>
          <w:szCs w:val="22"/>
          <w:lang w:eastAsia="en-PH" w:bidi="en-US"/>
        </w:rPr>
        <w:t>P</w:t>
      </w:r>
      <w:proofErr w:type="spellEnd"/>
      <w:r w:rsidR="00697C02">
        <w:rPr>
          <w:rFonts w:ascii="Arial" w:hAnsi="Arial" w:cs="Arial"/>
          <w:sz w:val="22"/>
          <w:szCs w:val="22"/>
          <w:lang w:eastAsia="en-PH" w:bidi="en-US"/>
        </w:rPr>
        <w:t xml:space="preserve"> </w:t>
      </w:r>
      <w:r>
        <w:rPr>
          <w:rFonts w:ascii="Arial" w:hAnsi="Arial" w:cs="Arial"/>
          <w:sz w:val="22"/>
          <w:szCs w:val="22"/>
          <w:lang w:eastAsia="en-PH" w:bidi="en-US"/>
        </w:rPr>
        <w:t xml:space="preserve">17.58 </w:t>
      </w:r>
      <w:r w:rsidR="00A42924">
        <w:rPr>
          <w:rFonts w:ascii="Arial" w:hAnsi="Arial" w:cs="Arial"/>
          <w:sz w:val="22"/>
          <w:szCs w:val="22"/>
          <w:lang w:eastAsia="en-PH" w:bidi="en-US"/>
        </w:rPr>
        <w:t>b</w:t>
      </w:r>
      <w:r>
        <w:rPr>
          <w:rFonts w:ascii="Arial" w:hAnsi="Arial" w:cs="Arial"/>
          <w:sz w:val="22"/>
          <w:szCs w:val="22"/>
          <w:lang w:eastAsia="en-PH" w:bidi="en-US"/>
        </w:rPr>
        <w:t xml:space="preserve">illion from the total value in the same quarter of 2018 with </w:t>
      </w:r>
      <w:r w:rsidR="00A639F0">
        <w:rPr>
          <w:rFonts w:ascii="Arial" w:hAnsi="Arial" w:cs="Arial"/>
          <w:sz w:val="22"/>
          <w:szCs w:val="22"/>
          <w:lang w:eastAsia="en-PH" w:bidi="en-US"/>
        </w:rPr>
        <w:t xml:space="preserve">       </w:t>
      </w:r>
      <w:r w:rsidR="000E5220">
        <w:rPr>
          <w:rFonts w:ascii="Arial" w:hAnsi="Arial" w:cs="Arial"/>
          <w:sz w:val="22"/>
          <w:szCs w:val="22"/>
          <w:lang w:eastAsia="en-PH" w:bidi="en-US"/>
        </w:rPr>
        <w:t xml:space="preserve"> </w:t>
      </w:r>
      <w:proofErr w:type="spellStart"/>
      <w:r w:rsidR="00691396">
        <w:rPr>
          <w:rFonts w:ascii="Arial" w:hAnsi="Arial" w:cs="Arial"/>
          <w:sz w:val="22"/>
          <w:szCs w:val="22"/>
          <w:lang w:eastAsia="en-PH" w:bidi="en-US"/>
        </w:rPr>
        <w:t>Ph</w:t>
      </w:r>
      <w:r w:rsidR="00697C02">
        <w:rPr>
          <w:rFonts w:ascii="Arial" w:hAnsi="Arial" w:cs="Arial"/>
          <w:sz w:val="22"/>
          <w:szCs w:val="22"/>
          <w:lang w:eastAsia="en-PH" w:bidi="en-US"/>
        </w:rPr>
        <w:t>P</w:t>
      </w:r>
      <w:proofErr w:type="spellEnd"/>
      <w:r w:rsidR="00697C02">
        <w:rPr>
          <w:rFonts w:ascii="Arial" w:hAnsi="Arial" w:cs="Arial"/>
          <w:sz w:val="22"/>
          <w:szCs w:val="22"/>
          <w:lang w:eastAsia="en-PH" w:bidi="en-US"/>
        </w:rPr>
        <w:t xml:space="preserve"> </w:t>
      </w:r>
      <w:r>
        <w:rPr>
          <w:rFonts w:ascii="Arial" w:hAnsi="Arial" w:cs="Arial"/>
          <w:sz w:val="22"/>
          <w:szCs w:val="22"/>
          <w:lang w:eastAsia="en-PH" w:bidi="en-US"/>
        </w:rPr>
        <w:t xml:space="preserve">15.31 </w:t>
      </w:r>
      <w:r w:rsidR="00A42924">
        <w:rPr>
          <w:rFonts w:ascii="Arial" w:hAnsi="Arial" w:cs="Arial"/>
          <w:sz w:val="22"/>
          <w:szCs w:val="22"/>
          <w:lang w:eastAsia="en-PH" w:bidi="en-US"/>
        </w:rPr>
        <w:t>billion</w:t>
      </w:r>
      <w:r>
        <w:rPr>
          <w:rFonts w:ascii="Arial" w:hAnsi="Arial" w:cs="Arial"/>
          <w:sz w:val="22"/>
          <w:szCs w:val="22"/>
          <w:lang w:eastAsia="en-PH" w:bidi="en-US"/>
        </w:rPr>
        <w:t xml:space="preserve"> (Figure</w:t>
      </w:r>
      <w:r w:rsidR="009D2451">
        <w:rPr>
          <w:rFonts w:ascii="Arial" w:hAnsi="Arial" w:cs="Arial"/>
          <w:sz w:val="22"/>
          <w:szCs w:val="22"/>
          <w:lang w:eastAsia="en-PH" w:bidi="en-US"/>
        </w:rPr>
        <w:t xml:space="preserve"> 4</w:t>
      </w:r>
      <w:r>
        <w:rPr>
          <w:rFonts w:ascii="Arial" w:hAnsi="Arial" w:cs="Arial"/>
          <w:sz w:val="22"/>
          <w:szCs w:val="22"/>
          <w:lang w:eastAsia="en-PH" w:bidi="en-US"/>
        </w:rPr>
        <w:t>).</w:t>
      </w:r>
    </w:p>
    <w:p w:rsidR="00697C02" w:rsidRDefault="00697C02" w:rsidP="0007275B">
      <w:pPr>
        <w:shd w:val="clear" w:color="auto" w:fill="FFFFFF"/>
        <w:spacing w:before="100" w:beforeAutospacing="1" w:after="96" w:line="276" w:lineRule="auto"/>
        <w:ind w:firstLine="720"/>
        <w:outlineLvl w:val="2"/>
        <w:rPr>
          <w:rFonts w:ascii="Arial" w:hAnsi="Arial" w:cs="Arial"/>
          <w:sz w:val="22"/>
          <w:szCs w:val="22"/>
          <w:lang w:eastAsia="en-PH" w:bidi="en-US"/>
        </w:rPr>
      </w:pPr>
    </w:p>
    <w:p w:rsidR="00513B88" w:rsidRDefault="00CA3584" w:rsidP="00361C48">
      <w:pPr>
        <w:shd w:val="clear" w:color="auto" w:fill="FFFFFF"/>
        <w:spacing w:before="96" w:after="192" w:line="276" w:lineRule="auto"/>
        <w:ind w:firstLine="720"/>
        <w:jc w:val="both"/>
        <w:rPr>
          <w:rFonts w:ascii="Arial" w:hAnsi="Arial" w:cs="Arial"/>
          <w:sz w:val="22"/>
          <w:szCs w:val="22"/>
          <w:lang w:eastAsia="en-PH"/>
        </w:rPr>
      </w:pPr>
      <w:r w:rsidRPr="00CA3584">
        <w:rPr>
          <w:rFonts w:ascii="Arial" w:hAnsi="Arial" w:cs="Arial"/>
          <w:noProof/>
          <w:sz w:val="22"/>
          <w:szCs w:val="22"/>
        </w:rPr>
        <w:drawing>
          <wp:inline distT="0" distB="0" distL="0" distR="0">
            <wp:extent cx="4886325" cy="3105150"/>
            <wp:effectExtent l="19050" t="0" r="9525"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3689" w:rsidRDefault="00333689" w:rsidP="00333689">
      <w:pPr>
        <w:shd w:val="clear" w:color="auto" w:fill="FFFFFF"/>
        <w:spacing w:before="100" w:beforeAutospacing="1" w:after="96" w:line="276" w:lineRule="auto"/>
        <w:outlineLvl w:val="2"/>
        <w:rPr>
          <w:rFonts w:ascii="Arial" w:hAnsi="Arial" w:cs="Arial"/>
          <w:b/>
          <w:bCs/>
          <w:color w:val="000000"/>
          <w:sz w:val="22"/>
          <w:szCs w:val="22"/>
          <w:lang w:eastAsia="en-PH"/>
        </w:rPr>
      </w:pPr>
    </w:p>
    <w:p w:rsidR="00AC242A" w:rsidRDefault="00FF1D76" w:rsidP="00D50828">
      <w:pPr>
        <w:shd w:val="clear" w:color="auto" w:fill="FFFFFF"/>
        <w:spacing w:before="96" w:after="192" w:line="276" w:lineRule="auto"/>
        <w:jc w:val="both"/>
        <w:rPr>
          <w:rFonts w:ascii="Arial" w:hAnsi="Arial" w:cs="Arial"/>
          <w:sz w:val="22"/>
          <w:szCs w:val="22"/>
          <w:lang w:eastAsia="en-PH" w:bidi="en-US"/>
        </w:rPr>
      </w:pPr>
      <w:r w:rsidRPr="00AB1230">
        <w:rPr>
          <w:rFonts w:ascii="Arial" w:hAnsi="Arial" w:cs="Arial"/>
          <w:b/>
          <w:sz w:val="22"/>
          <w:szCs w:val="22"/>
          <w:lang w:eastAsia="en-PH" w:bidi="en-US"/>
        </w:rPr>
        <w:t>Food and Live Animals</w:t>
      </w:r>
      <w:r>
        <w:rPr>
          <w:rFonts w:ascii="Arial" w:hAnsi="Arial" w:cs="Arial"/>
          <w:sz w:val="22"/>
          <w:szCs w:val="22"/>
          <w:lang w:eastAsia="en-PH" w:bidi="en-US"/>
        </w:rPr>
        <w:t xml:space="preserve"> remained the highest value of traded commodities in Region X during the first quarter of 2019, amounting to </w:t>
      </w:r>
      <w:proofErr w:type="spellStart"/>
      <w:r w:rsidR="00AB1230">
        <w:rPr>
          <w:rFonts w:ascii="Arial" w:hAnsi="Arial" w:cs="Arial"/>
          <w:sz w:val="22"/>
          <w:szCs w:val="22"/>
          <w:lang w:eastAsia="en-PH" w:bidi="en-US"/>
        </w:rPr>
        <w:t>PhP</w:t>
      </w:r>
      <w:proofErr w:type="spellEnd"/>
      <w:r w:rsidR="00AB1230">
        <w:rPr>
          <w:rFonts w:ascii="Arial" w:hAnsi="Arial" w:cs="Arial"/>
          <w:sz w:val="22"/>
          <w:szCs w:val="22"/>
          <w:lang w:eastAsia="en-PH" w:bidi="en-US"/>
        </w:rPr>
        <w:t xml:space="preserve"> 4.</w:t>
      </w:r>
      <w:r w:rsidR="0045380D">
        <w:rPr>
          <w:rFonts w:ascii="Arial" w:hAnsi="Arial" w:cs="Arial"/>
          <w:sz w:val="22"/>
          <w:szCs w:val="22"/>
          <w:lang w:eastAsia="en-PH" w:bidi="en-US"/>
        </w:rPr>
        <w:t>2</w:t>
      </w:r>
      <w:r w:rsidR="00AB1230">
        <w:rPr>
          <w:rFonts w:ascii="Arial" w:hAnsi="Arial" w:cs="Arial"/>
          <w:sz w:val="22"/>
          <w:szCs w:val="22"/>
          <w:lang w:eastAsia="en-PH" w:bidi="en-US"/>
        </w:rPr>
        <w:t>9 billion of th</w:t>
      </w:r>
      <w:r w:rsidR="00E06924">
        <w:rPr>
          <w:rFonts w:ascii="Arial" w:hAnsi="Arial" w:cs="Arial"/>
          <w:sz w:val="22"/>
          <w:szCs w:val="22"/>
          <w:lang w:eastAsia="en-PH" w:bidi="en-US"/>
        </w:rPr>
        <w:t>e total value of domestic trade</w:t>
      </w:r>
      <w:r w:rsidR="00110BBF">
        <w:rPr>
          <w:rFonts w:ascii="Arial" w:hAnsi="Arial" w:cs="Arial"/>
          <w:sz w:val="22"/>
          <w:szCs w:val="22"/>
          <w:lang w:eastAsia="en-PH" w:bidi="en-US"/>
        </w:rPr>
        <w:t xml:space="preserve">. </w:t>
      </w:r>
      <w:r w:rsidR="00110BBF">
        <w:rPr>
          <w:rFonts w:ascii="Arial" w:hAnsi="Arial" w:cs="Arial"/>
          <w:b/>
          <w:sz w:val="22"/>
          <w:szCs w:val="22"/>
          <w:lang w:eastAsia="en-PH" w:bidi="en-US"/>
        </w:rPr>
        <w:t>M</w:t>
      </w:r>
      <w:r w:rsidR="00E06924" w:rsidRPr="00E06924">
        <w:rPr>
          <w:rFonts w:ascii="Arial" w:hAnsi="Arial" w:cs="Arial"/>
          <w:b/>
          <w:sz w:val="22"/>
          <w:szCs w:val="22"/>
          <w:lang w:eastAsia="en-PH" w:bidi="en-US"/>
        </w:rPr>
        <w:t>achinery and transport equipment</w:t>
      </w:r>
      <w:r w:rsidR="00E06924">
        <w:rPr>
          <w:rFonts w:ascii="Arial" w:hAnsi="Arial" w:cs="Arial"/>
          <w:sz w:val="22"/>
          <w:szCs w:val="22"/>
          <w:lang w:eastAsia="en-PH" w:bidi="en-US"/>
        </w:rPr>
        <w:t xml:space="preserve"> and </w:t>
      </w:r>
      <w:r w:rsidR="00E06924" w:rsidRPr="00E06924">
        <w:rPr>
          <w:rFonts w:ascii="Arial" w:hAnsi="Arial" w:cs="Arial"/>
          <w:b/>
          <w:sz w:val="22"/>
          <w:szCs w:val="22"/>
          <w:lang w:eastAsia="en-PH" w:bidi="en-US"/>
        </w:rPr>
        <w:t>manufactured goods classified chiefly by material</w:t>
      </w:r>
      <w:r w:rsidR="00E06924">
        <w:rPr>
          <w:rFonts w:ascii="Arial" w:hAnsi="Arial" w:cs="Arial"/>
          <w:sz w:val="22"/>
          <w:szCs w:val="22"/>
          <w:lang w:eastAsia="en-PH" w:bidi="en-US"/>
        </w:rPr>
        <w:t xml:space="preserve"> </w:t>
      </w:r>
      <w:r w:rsidR="00110BBF">
        <w:rPr>
          <w:rFonts w:ascii="Arial" w:hAnsi="Arial" w:cs="Arial"/>
          <w:sz w:val="22"/>
          <w:szCs w:val="22"/>
          <w:lang w:eastAsia="en-PH" w:bidi="en-US"/>
        </w:rPr>
        <w:t xml:space="preserve">followed </w:t>
      </w:r>
      <w:r w:rsidR="00E06924">
        <w:rPr>
          <w:rFonts w:ascii="Arial" w:hAnsi="Arial" w:cs="Arial"/>
          <w:sz w:val="22"/>
          <w:szCs w:val="22"/>
          <w:lang w:eastAsia="en-PH" w:bidi="en-US"/>
        </w:rPr>
        <w:t xml:space="preserve">with a value of </w:t>
      </w:r>
      <w:proofErr w:type="spellStart"/>
      <w:r w:rsidR="00E06924">
        <w:rPr>
          <w:rFonts w:ascii="Arial" w:hAnsi="Arial" w:cs="Arial"/>
          <w:sz w:val="22"/>
          <w:szCs w:val="22"/>
          <w:lang w:eastAsia="en-PH" w:bidi="en-US"/>
        </w:rPr>
        <w:t>PhP</w:t>
      </w:r>
      <w:proofErr w:type="spellEnd"/>
      <w:r w:rsidR="00E06924">
        <w:rPr>
          <w:rFonts w:ascii="Arial" w:hAnsi="Arial" w:cs="Arial"/>
          <w:sz w:val="22"/>
          <w:szCs w:val="22"/>
          <w:lang w:eastAsia="en-PH" w:bidi="en-US"/>
        </w:rPr>
        <w:t xml:space="preserve"> </w:t>
      </w:r>
      <w:r w:rsidR="00926E28">
        <w:rPr>
          <w:rFonts w:ascii="Arial" w:hAnsi="Arial" w:cs="Arial"/>
          <w:sz w:val="22"/>
          <w:szCs w:val="22"/>
          <w:lang w:eastAsia="en-PH" w:bidi="en-US"/>
        </w:rPr>
        <w:t xml:space="preserve">3.70 billion and </w:t>
      </w:r>
      <w:proofErr w:type="spellStart"/>
      <w:r w:rsidR="00926E28">
        <w:rPr>
          <w:rFonts w:ascii="Arial" w:hAnsi="Arial" w:cs="Arial"/>
          <w:sz w:val="22"/>
          <w:szCs w:val="22"/>
          <w:lang w:eastAsia="en-PH" w:bidi="en-US"/>
        </w:rPr>
        <w:t>PhP</w:t>
      </w:r>
      <w:proofErr w:type="spellEnd"/>
      <w:r w:rsidR="00926E28">
        <w:rPr>
          <w:rFonts w:ascii="Arial" w:hAnsi="Arial" w:cs="Arial"/>
          <w:sz w:val="22"/>
          <w:szCs w:val="22"/>
          <w:lang w:eastAsia="en-PH" w:bidi="en-US"/>
        </w:rPr>
        <w:t xml:space="preserve"> 1.62 billion</w:t>
      </w:r>
      <w:r w:rsidR="0058565E">
        <w:rPr>
          <w:rFonts w:ascii="Arial" w:hAnsi="Arial" w:cs="Arial"/>
          <w:sz w:val="22"/>
          <w:szCs w:val="22"/>
          <w:lang w:eastAsia="en-PH" w:bidi="en-US"/>
        </w:rPr>
        <w:t xml:space="preserve">, respectively </w:t>
      </w:r>
      <w:r w:rsidR="001A7439">
        <w:rPr>
          <w:rFonts w:ascii="Arial" w:hAnsi="Arial" w:cs="Arial"/>
          <w:sz w:val="22"/>
          <w:szCs w:val="22"/>
          <w:lang w:eastAsia="en-PH" w:bidi="en-US"/>
        </w:rPr>
        <w:t xml:space="preserve">(Figure </w:t>
      </w:r>
      <w:r w:rsidR="009D2451">
        <w:rPr>
          <w:rFonts w:ascii="Arial" w:hAnsi="Arial" w:cs="Arial"/>
          <w:sz w:val="22"/>
          <w:szCs w:val="22"/>
          <w:lang w:eastAsia="en-PH" w:bidi="en-US"/>
        </w:rPr>
        <w:t>5</w:t>
      </w:r>
      <w:r w:rsidR="0058565E">
        <w:rPr>
          <w:rFonts w:ascii="Arial" w:hAnsi="Arial" w:cs="Arial"/>
          <w:sz w:val="22"/>
          <w:szCs w:val="22"/>
          <w:lang w:eastAsia="en-PH" w:bidi="en-US"/>
        </w:rPr>
        <w:t>).</w:t>
      </w:r>
      <w:r w:rsidR="00465396">
        <w:rPr>
          <w:rFonts w:ascii="Arial" w:hAnsi="Arial" w:cs="Arial"/>
          <w:sz w:val="22"/>
          <w:szCs w:val="22"/>
          <w:lang w:eastAsia="en-PH" w:bidi="en-US"/>
        </w:rPr>
        <w:t xml:space="preserve"> </w:t>
      </w:r>
      <w:r w:rsidR="00AC242A" w:rsidRPr="00FF1D76">
        <w:rPr>
          <w:rFonts w:ascii="Arial" w:hAnsi="Arial" w:cs="Arial"/>
          <w:sz w:val="22"/>
          <w:szCs w:val="22"/>
          <w:lang w:eastAsia="en-PH" w:bidi="en-US"/>
        </w:rPr>
        <w:t xml:space="preserve">The </w:t>
      </w:r>
      <w:proofErr w:type="gramStart"/>
      <w:r w:rsidR="00AC242A" w:rsidRPr="00FF1D76">
        <w:rPr>
          <w:rFonts w:ascii="Arial" w:hAnsi="Arial" w:cs="Arial"/>
          <w:sz w:val="22"/>
          <w:szCs w:val="22"/>
          <w:lang w:eastAsia="en-PH" w:bidi="en-US"/>
        </w:rPr>
        <w:t>value of other commodity sections were</w:t>
      </w:r>
      <w:proofErr w:type="gramEnd"/>
      <w:r w:rsidR="00AC242A" w:rsidRPr="00FF1D76">
        <w:rPr>
          <w:rFonts w:ascii="Arial" w:hAnsi="Arial" w:cs="Arial"/>
          <w:sz w:val="22"/>
          <w:szCs w:val="22"/>
          <w:lang w:eastAsia="en-PH" w:bidi="en-US"/>
        </w:rPr>
        <w:t xml:space="preserve"> the following:</w:t>
      </w:r>
    </w:p>
    <w:p w:rsidR="0045380D" w:rsidRPr="00FF1D76" w:rsidRDefault="0045380D" w:rsidP="00D50828">
      <w:pPr>
        <w:shd w:val="clear" w:color="auto" w:fill="FFFFFF"/>
        <w:spacing w:line="276" w:lineRule="auto"/>
        <w:jc w:val="both"/>
        <w:rPr>
          <w:rFonts w:ascii="Arial" w:hAnsi="Arial" w:cs="Arial"/>
          <w:sz w:val="22"/>
          <w:szCs w:val="22"/>
          <w:lang w:eastAsia="en-PH" w:bidi="en-US"/>
        </w:rPr>
      </w:pPr>
    </w:p>
    <w:p w:rsidR="0045380D" w:rsidRDefault="00AC242A" w:rsidP="00D50828">
      <w:pPr>
        <w:shd w:val="clear" w:color="auto" w:fill="FFFFFF"/>
        <w:spacing w:line="276" w:lineRule="auto"/>
        <w:ind w:left="1200"/>
        <w:rPr>
          <w:rFonts w:ascii="Arial" w:hAnsi="Arial" w:cs="Arial"/>
          <w:sz w:val="22"/>
          <w:szCs w:val="22"/>
          <w:lang w:eastAsia="en-PH" w:bidi="en-US"/>
        </w:rPr>
      </w:pPr>
      <w:r w:rsidRPr="00FF1D76">
        <w:rPr>
          <w:rFonts w:ascii="Arial" w:hAnsi="Arial" w:cs="Arial"/>
          <w:sz w:val="22"/>
          <w:szCs w:val="22"/>
          <w:lang w:eastAsia="en-PH" w:bidi="en-US"/>
        </w:rPr>
        <w:t>• </w:t>
      </w:r>
      <w:r w:rsidR="0045380D" w:rsidRPr="005A7760">
        <w:rPr>
          <w:rFonts w:ascii="Arial" w:hAnsi="Arial" w:cs="Arial"/>
          <w:b/>
          <w:sz w:val="22"/>
          <w:szCs w:val="22"/>
          <w:lang w:eastAsia="en-PH" w:bidi="en-US"/>
        </w:rPr>
        <w:t>Crude materials, inedible except fuels</w:t>
      </w:r>
      <w:r w:rsidR="0045380D">
        <w:rPr>
          <w:rFonts w:ascii="Arial" w:hAnsi="Arial" w:cs="Arial"/>
          <w:sz w:val="22"/>
          <w:szCs w:val="22"/>
          <w:lang w:eastAsia="en-PH" w:bidi="en-US"/>
        </w:rPr>
        <w:t xml:space="preserve">, </w:t>
      </w:r>
      <w:proofErr w:type="spellStart"/>
      <w:r w:rsidR="0045380D">
        <w:rPr>
          <w:rFonts w:ascii="Arial" w:hAnsi="Arial" w:cs="Arial"/>
          <w:sz w:val="22"/>
          <w:szCs w:val="22"/>
          <w:lang w:eastAsia="en-PH" w:bidi="en-US"/>
        </w:rPr>
        <w:t>PhP</w:t>
      </w:r>
      <w:proofErr w:type="spellEnd"/>
      <w:r w:rsidR="0045380D">
        <w:rPr>
          <w:rFonts w:ascii="Arial" w:hAnsi="Arial" w:cs="Arial"/>
          <w:sz w:val="22"/>
          <w:szCs w:val="22"/>
          <w:lang w:eastAsia="en-PH" w:bidi="en-US"/>
        </w:rPr>
        <w:t xml:space="preserve"> 1.54 </w:t>
      </w:r>
      <w:r w:rsidR="0045380D" w:rsidRPr="00935AC0">
        <w:rPr>
          <w:rFonts w:ascii="Arial" w:hAnsi="Arial" w:cs="Arial"/>
          <w:sz w:val="22"/>
          <w:szCs w:val="22"/>
          <w:lang w:eastAsia="en-PH" w:bidi="en-US"/>
        </w:rPr>
        <w:t>billion;</w:t>
      </w:r>
    </w:p>
    <w:p w:rsidR="005A7760" w:rsidRDefault="00935AC0" w:rsidP="00D50828">
      <w:pPr>
        <w:shd w:val="clear" w:color="auto" w:fill="FFFFFF"/>
        <w:spacing w:line="276" w:lineRule="auto"/>
        <w:ind w:left="1200"/>
        <w:rPr>
          <w:rFonts w:ascii="Arial" w:hAnsi="Arial" w:cs="Arial"/>
          <w:sz w:val="22"/>
          <w:szCs w:val="22"/>
          <w:lang w:eastAsia="en-PH" w:bidi="en-US"/>
        </w:rPr>
      </w:pPr>
      <w:r w:rsidRPr="00935AC0">
        <w:rPr>
          <w:rFonts w:ascii="Arial" w:hAnsi="Arial" w:cs="Arial"/>
          <w:sz w:val="22"/>
          <w:szCs w:val="22"/>
          <w:lang w:eastAsia="en-PH" w:bidi="en-US"/>
        </w:rPr>
        <w:t>• </w:t>
      </w:r>
      <w:r w:rsidR="0045380D">
        <w:rPr>
          <w:rFonts w:ascii="Arial" w:hAnsi="Arial" w:cs="Arial"/>
          <w:b/>
          <w:sz w:val="22"/>
          <w:szCs w:val="22"/>
          <w:lang w:eastAsia="en-PH" w:bidi="en-US"/>
        </w:rPr>
        <w:t xml:space="preserve">Beverages and </w:t>
      </w:r>
      <w:proofErr w:type="spellStart"/>
      <w:r w:rsidR="0045380D">
        <w:rPr>
          <w:rFonts w:ascii="Arial" w:hAnsi="Arial" w:cs="Arial"/>
          <w:b/>
          <w:sz w:val="22"/>
          <w:szCs w:val="22"/>
          <w:lang w:eastAsia="en-PH" w:bidi="en-US"/>
        </w:rPr>
        <w:t>tabacco</w:t>
      </w:r>
      <w:proofErr w:type="spellEnd"/>
      <w:r>
        <w:rPr>
          <w:rFonts w:ascii="Arial" w:hAnsi="Arial" w:cs="Arial"/>
          <w:sz w:val="22"/>
          <w:szCs w:val="22"/>
          <w:lang w:eastAsia="en-PH" w:bidi="en-US"/>
        </w:rPr>
        <w:t xml:space="preserve">, </w:t>
      </w:r>
      <w:proofErr w:type="spellStart"/>
      <w:r>
        <w:rPr>
          <w:rFonts w:ascii="Arial" w:hAnsi="Arial" w:cs="Arial"/>
          <w:sz w:val="22"/>
          <w:szCs w:val="22"/>
          <w:lang w:eastAsia="en-PH" w:bidi="en-US"/>
        </w:rPr>
        <w:t>PhP</w:t>
      </w:r>
      <w:proofErr w:type="spellEnd"/>
      <w:r>
        <w:rPr>
          <w:rFonts w:ascii="Arial" w:hAnsi="Arial" w:cs="Arial"/>
          <w:sz w:val="22"/>
          <w:szCs w:val="22"/>
          <w:lang w:eastAsia="en-PH" w:bidi="en-US"/>
        </w:rPr>
        <w:t xml:space="preserve"> </w:t>
      </w:r>
      <w:r w:rsidR="0045380D">
        <w:rPr>
          <w:rFonts w:ascii="Arial" w:hAnsi="Arial" w:cs="Arial"/>
          <w:sz w:val="22"/>
          <w:szCs w:val="22"/>
          <w:lang w:eastAsia="en-PH" w:bidi="en-US"/>
        </w:rPr>
        <w:t>1.38</w:t>
      </w:r>
      <w:r>
        <w:rPr>
          <w:rFonts w:ascii="Arial" w:hAnsi="Arial" w:cs="Arial"/>
          <w:sz w:val="22"/>
          <w:szCs w:val="22"/>
          <w:lang w:eastAsia="en-PH" w:bidi="en-US"/>
        </w:rPr>
        <w:t xml:space="preserve"> </w:t>
      </w:r>
      <w:r w:rsidRPr="00935AC0">
        <w:rPr>
          <w:rFonts w:ascii="Arial" w:hAnsi="Arial" w:cs="Arial"/>
          <w:sz w:val="22"/>
          <w:szCs w:val="22"/>
          <w:lang w:eastAsia="en-PH" w:bidi="en-US"/>
        </w:rPr>
        <w:t>billion;</w:t>
      </w:r>
    </w:p>
    <w:p w:rsidR="009D2451" w:rsidRDefault="000C47A9" w:rsidP="00D50828">
      <w:pPr>
        <w:shd w:val="clear" w:color="auto" w:fill="FFFFFF"/>
        <w:spacing w:line="276" w:lineRule="auto"/>
        <w:ind w:left="1200"/>
        <w:rPr>
          <w:rFonts w:ascii="Arial" w:hAnsi="Arial" w:cs="Arial"/>
          <w:sz w:val="22"/>
          <w:szCs w:val="22"/>
          <w:lang w:eastAsia="en-PH" w:bidi="en-US"/>
        </w:rPr>
      </w:pPr>
      <w:r w:rsidRPr="00935AC0">
        <w:rPr>
          <w:rFonts w:ascii="Arial" w:hAnsi="Arial" w:cs="Arial"/>
          <w:sz w:val="22"/>
          <w:szCs w:val="22"/>
          <w:lang w:eastAsia="en-PH" w:bidi="en-US"/>
        </w:rPr>
        <w:t>•</w:t>
      </w:r>
      <w:r>
        <w:rPr>
          <w:rFonts w:ascii="Arial" w:hAnsi="Arial" w:cs="Arial"/>
          <w:sz w:val="22"/>
          <w:szCs w:val="22"/>
          <w:lang w:eastAsia="en-PH" w:bidi="en-US"/>
        </w:rPr>
        <w:t xml:space="preserve"> </w:t>
      </w:r>
      <w:r w:rsidR="009D2451">
        <w:rPr>
          <w:rFonts w:ascii="Arial" w:hAnsi="Arial" w:cs="Arial"/>
          <w:b/>
          <w:sz w:val="22"/>
          <w:szCs w:val="22"/>
          <w:lang w:eastAsia="en-PH" w:bidi="en-US"/>
        </w:rPr>
        <w:t>Animal and Vegetable Oils, Fats, and Waxes</w:t>
      </w:r>
      <w:r w:rsidR="009D2451" w:rsidRPr="00935AC0">
        <w:rPr>
          <w:rFonts w:ascii="Arial" w:hAnsi="Arial" w:cs="Arial"/>
          <w:sz w:val="22"/>
          <w:szCs w:val="22"/>
          <w:lang w:eastAsia="en-PH" w:bidi="en-US"/>
        </w:rPr>
        <w:t xml:space="preserve">, </w:t>
      </w:r>
      <w:proofErr w:type="spellStart"/>
      <w:r w:rsidR="009D2451">
        <w:rPr>
          <w:rFonts w:ascii="Arial" w:hAnsi="Arial" w:cs="Arial"/>
          <w:sz w:val="22"/>
          <w:szCs w:val="22"/>
          <w:lang w:eastAsia="en-PH" w:bidi="en-US"/>
        </w:rPr>
        <w:t>PhP</w:t>
      </w:r>
      <w:proofErr w:type="spellEnd"/>
      <w:r w:rsidR="009D2451">
        <w:rPr>
          <w:rFonts w:ascii="Arial" w:hAnsi="Arial" w:cs="Arial"/>
          <w:sz w:val="22"/>
          <w:szCs w:val="22"/>
          <w:lang w:eastAsia="en-PH" w:bidi="en-US"/>
        </w:rPr>
        <w:t xml:space="preserve"> 0.91</w:t>
      </w:r>
      <w:r w:rsidR="009D2451" w:rsidRPr="00935AC0">
        <w:rPr>
          <w:rFonts w:ascii="Arial" w:hAnsi="Arial" w:cs="Arial"/>
          <w:sz w:val="22"/>
          <w:szCs w:val="22"/>
          <w:lang w:eastAsia="en-PH" w:bidi="en-US"/>
        </w:rPr>
        <w:t xml:space="preserve"> billion</w:t>
      </w:r>
      <w:proofErr w:type="gramStart"/>
      <w:r w:rsidR="009D2451" w:rsidRPr="00935AC0">
        <w:rPr>
          <w:rFonts w:ascii="Arial" w:hAnsi="Arial" w:cs="Arial"/>
          <w:sz w:val="22"/>
          <w:szCs w:val="22"/>
          <w:lang w:eastAsia="en-PH" w:bidi="en-US"/>
        </w:rPr>
        <w:t>;</w:t>
      </w:r>
      <w:proofErr w:type="gramEnd"/>
      <w:r w:rsidR="009D2451" w:rsidRPr="00935AC0">
        <w:rPr>
          <w:rFonts w:ascii="Arial" w:hAnsi="Arial" w:cs="Arial"/>
          <w:sz w:val="22"/>
          <w:szCs w:val="22"/>
          <w:lang w:eastAsia="en-PH" w:bidi="en-US"/>
        </w:rPr>
        <w:br/>
        <w:t>• </w:t>
      </w:r>
      <w:r w:rsidR="009D2451" w:rsidRPr="007169C1">
        <w:rPr>
          <w:rFonts w:ascii="Arial" w:hAnsi="Arial" w:cs="Arial"/>
          <w:b/>
          <w:sz w:val="22"/>
          <w:szCs w:val="22"/>
          <w:lang w:eastAsia="en-PH" w:bidi="en-US"/>
        </w:rPr>
        <w:t>Mineral Fuels, Lubricants and Related Materials</w:t>
      </w:r>
      <w:r w:rsidR="009D2451" w:rsidRPr="00935AC0">
        <w:rPr>
          <w:rFonts w:ascii="Arial" w:hAnsi="Arial" w:cs="Arial"/>
          <w:sz w:val="22"/>
          <w:szCs w:val="22"/>
          <w:lang w:eastAsia="en-PH" w:bidi="en-US"/>
        </w:rPr>
        <w:t xml:space="preserve">, </w:t>
      </w:r>
      <w:proofErr w:type="spellStart"/>
      <w:r w:rsidR="009D2451">
        <w:rPr>
          <w:rFonts w:ascii="Arial" w:hAnsi="Arial" w:cs="Arial"/>
          <w:sz w:val="22"/>
          <w:szCs w:val="22"/>
          <w:lang w:eastAsia="en-PH" w:bidi="en-US"/>
        </w:rPr>
        <w:t>PhP</w:t>
      </w:r>
      <w:proofErr w:type="spellEnd"/>
      <w:r w:rsidR="009D2451">
        <w:rPr>
          <w:rFonts w:ascii="Arial" w:hAnsi="Arial" w:cs="Arial"/>
          <w:sz w:val="22"/>
          <w:szCs w:val="22"/>
          <w:lang w:eastAsia="en-PH" w:bidi="en-US"/>
        </w:rPr>
        <w:t xml:space="preserve"> 0.79</w:t>
      </w:r>
      <w:r w:rsidR="009D2451" w:rsidRPr="00935AC0">
        <w:rPr>
          <w:rFonts w:ascii="Arial" w:hAnsi="Arial" w:cs="Arial"/>
          <w:sz w:val="22"/>
          <w:szCs w:val="22"/>
          <w:lang w:eastAsia="en-PH" w:bidi="en-US"/>
        </w:rPr>
        <w:t xml:space="preserve"> billion;</w:t>
      </w:r>
      <w:r w:rsidR="009D2451" w:rsidRPr="00935AC0">
        <w:rPr>
          <w:rFonts w:ascii="Arial" w:hAnsi="Arial" w:cs="Arial"/>
          <w:sz w:val="22"/>
          <w:szCs w:val="22"/>
          <w:lang w:eastAsia="en-PH" w:bidi="en-US"/>
        </w:rPr>
        <w:br/>
        <w:t>• </w:t>
      </w:r>
      <w:r w:rsidR="009D2451" w:rsidRPr="00E14426">
        <w:rPr>
          <w:rFonts w:ascii="Arial" w:hAnsi="Arial" w:cs="Arial"/>
          <w:b/>
          <w:sz w:val="22"/>
          <w:szCs w:val="22"/>
          <w:lang w:eastAsia="en-PH" w:bidi="en-US"/>
        </w:rPr>
        <w:t xml:space="preserve">Chemical and Related Products, </w:t>
      </w:r>
      <w:proofErr w:type="spellStart"/>
      <w:r w:rsidR="009D2451" w:rsidRPr="00E14426">
        <w:rPr>
          <w:rFonts w:ascii="Arial" w:hAnsi="Arial" w:cs="Arial"/>
          <w:b/>
          <w:sz w:val="22"/>
          <w:szCs w:val="22"/>
          <w:lang w:eastAsia="en-PH" w:bidi="en-US"/>
        </w:rPr>
        <w:t>n.e.c</w:t>
      </w:r>
      <w:proofErr w:type="spellEnd"/>
      <w:r w:rsidR="009D2451" w:rsidRPr="00E14426">
        <w:rPr>
          <w:rFonts w:ascii="Arial" w:hAnsi="Arial" w:cs="Arial"/>
          <w:b/>
          <w:sz w:val="22"/>
          <w:szCs w:val="22"/>
          <w:lang w:eastAsia="en-PH" w:bidi="en-US"/>
        </w:rPr>
        <w:t>.</w:t>
      </w:r>
      <w:r w:rsidR="009D2451">
        <w:rPr>
          <w:rFonts w:ascii="Arial" w:hAnsi="Arial" w:cs="Arial"/>
          <w:sz w:val="22"/>
          <w:szCs w:val="22"/>
          <w:lang w:eastAsia="en-PH" w:bidi="en-US"/>
        </w:rPr>
        <w:t xml:space="preserve">, </w:t>
      </w:r>
      <w:proofErr w:type="spellStart"/>
      <w:r w:rsidR="009D2451">
        <w:rPr>
          <w:rFonts w:ascii="Arial" w:hAnsi="Arial" w:cs="Arial"/>
          <w:sz w:val="22"/>
          <w:szCs w:val="22"/>
          <w:lang w:eastAsia="en-PH" w:bidi="en-US"/>
        </w:rPr>
        <w:t>Ph</w:t>
      </w:r>
      <w:r w:rsidR="009D2451" w:rsidRPr="00935AC0">
        <w:rPr>
          <w:rFonts w:ascii="Arial" w:hAnsi="Arial" w:cs="Arial"/>
          <w:sz w:val="22"/>
          <w:szCs w:val="22"/>
          <w:lang w:eastAsia="en-PH" w:bidi="en-US"/>
        </w:rPr>
        <w:t>P</w:t>
      </w:r>
      <w:proofErr w:type="spellEnd"/>
      <w:r w:rsidR="009D2451">
        <w:rPr>
          <w:rFonts w:ascii="Arial" w:hAnsi="Arial" w:cs="Arial"/>
          <w:sz w:val="22"/>
          <w:szCs w:val="22"/>
          <w:lang w:eastAsia="en-PH" w:bidi="en-US"/>
        </w:rPr>
        <w:t xml:space="preserve"> 0.76</w:t>
      </w:r>
      <w:r w:rsidR="009D2451" w:rsidRPr="00935AC0">
        <w:rPr>
          <w:rFonts w:ascii="Arial" w:hAnsi="Arial" w:cs="Arial"/>
          <w:sz w:val="22"/>
          <w:szCs w:val="22"/>
          <w:lang w:eastAsia="en-PH" w:bidi="en-US"/>
        </w:rPr>
        <w:t xml:space="preserve"> billion;</w:t>
      </w:r>
      <w:r w:rsidR="009D2451" w:rsidRPr="00935AC0">
        <w:rPr>
          <w:rFonts w:ascii="Arial" w:hAnsi="Arial" w:cs="Arial"/>
          <w:sz w:val="22"/>
          <w:szCs w:val="22"/>
          <w:lang w:eastAsia="en-PH" w:bidi="en-US"/>
        </w:rPr>
        <w:br/>
        <w:t>• </w:t>
      </w:r>
      <w:r w:rsidR="009D2451" w:rsidRPr="00E126C2">
        <w:rPr>
          <w:rFonts w:ascii="Arial" w:hAnsi="Arial" w:cs="Arial"/>
          <w:b/>
          <w:sz w:val="22"/>
          <w:szCs w:val="22"/>
          <w:lang w:eastAsia="en-PH" w:bidi="en-US"/>
        </w:rPr>
        <w:t>Commodities and Transactions not Elsewhere classified in the PSCC</w:t>
      </w:r>
      <w:r w:rsidR="009D2451" w:rsidRPr="00935AC0">
        <w:rPr>
          <w:rFonts w:ascii="Arial" w:hAnsi="Arial" w:cs="Arial"/>
          <w:sz w:val="22"/>
          <w:szCs w:val="22"/>
          <w:lang w:eastAsia="en-PH" w:bidi="en-US"/>
        </w:rPr>
        <w:t xml:space="preserve">, </w:t>
      </w:r>
    </w:p>
    <w:p w:rsidR="009D2451" w:rsidRDefault="009D2451" w:rsidP="00D50828">
      <w:pPr>
        <w:shd w:val="clear" w:color="auto" w:fill="FFFFFF"/>
        <w:spacing w:line="276" w:lineRule="auto"/>
        <w:ind w:left="1200"/>
        <w:rPr>
          <w:rFonts w:ascii="Arial" w:hAnsi="Arial" w:cs="Arial"/>
          <w:sz w:val="22"/>
          <w:szCs w:val="22"/>
          <w:lang w:eastAsia="en-PH" w:bidi="en-US"/>
        </w:rPr>
      </w:pPr>
      <w:r>
        <w:rPr>
          <w:rFonts w:ascii="Arial" w:hAnsi="Arial" w:cs="Arial"/>
          <w:sz w:val="22"/>
          <w:szCs w:val="22"/>
          <w:lang w:eastAsia="en-PH" w:bidi="en-US"/>
        </w:rPr>
        <w:t xml:space="preserve">    </w:t>
      </w:r>
      <w:proofErr w:type="spellStart"/>
      <w:r>
        <w:rPr>
          <w:rFonts w:ascii="Arial" w:hAnsi="Arial" w:cs="Arial"/>
          <w:sz w:val="22"/>
          <w:szCs w:val="22"/>
          <w:lang w:eastAsia="en-PH" w:bidi="en-US"/>
        </w:rPr>
        <w:t>Ph</w:t>
      </w:r>
      <w:r w:rsidRPr="00935AC0">
        <w:rPr>
          <w:rFonts w:ascii="Arial" w:hAnsi="Arial" w:cs="Arial"/>
          <w:sz w:val="22"/>
          <w:szCs w:val="22"/>
          <w:lang w:eastAsia="en-PH" w:bidi="en-US"/>
        </w:rPr>
        <w:t>P</w:t>
      </w:r>
      <w:proofErr w:type="spellEnd"/>
      <w:r>
        <w:rPr>
          <w:rFonts w:ascii="Arial" w:hAnsi="Arial" w:cs="Arial"/>
          <w:sz w:val="22"/>
          <w:szCs w:val="22"/>
          <w:lang w:eastAsia="en-PH" w:bidi="en-US"/>
        </w:rPr>
        <w:t xml:space="preserve"> 0.29 billion; and</w:t>
      </w:r>
      <w:r w:rsidRPr="00935AC0">
        <w:rPr>
          <w:rFonts w:ascii="Arial" w:hAnsi="Arial" w:cs="Arial"/>
          <w:sz w:val="22"/>
          <w:szCs w:val="22"/>
          <w:lang w:eastAsia="en-PH" w:bidi="en-US"/>
        </w:rPr>
        <w:br/>
        <w:t>• </w:t>
      </w:r>
      <w:r w:rsidRPr="00E126C2">
        <w:rPr>
          <w:rFonts w:ascii="Arial" w:hAnsi="Arial" w:cs="Arial"/>
          <w:b/>
          <w:sz w:val="22"/>
          <w:szCs w:val="22"/>
          <w:lang w:eastAsia="en-PH" w:bidi="en-US"/>
        </w:rPr>
        <w:t>Miscellaneous Manufactured Articles</w:t>
      </w:r>
      <w:r>
        <w:rPr>
          <w:rFonts w:ascii="Arial" w:hAnsi="Arial" w:cs="Arial"/>
          <w:sz w:val="22"/>
          <w:szCs w:val="22"/>
          <w:lang w:eastAsia="en-PH" w:bidi="en-US"/>
        </w:rPr>
        <w:t xml:space="preserve">, </w:t>
      </w:r>
      <w:proofErr w:type="spellStart"/>
      <w:r>
        <w:rPr>
          <w:rFonts w:ascii="Arial" w:hAnsi="Arial" w:cs="Arial"/>
          <w:sz w:val="22"/>
          <w:szCs w:val="22"/>
          <w:lang w:eastAsia="en-PH" w:bidi="en-US"/>
        </w:rPr>
        <w:t>PhP</w:t>
      </w:r>
      <w:proofErr w:type="spellEnd"/>
      <w:r>
        <w:rPr>
          <w:rFonts w:ascii="Arial" w:hAnsi="Arial" w:cs="Arial"/>
          <w:sz w:val="22"/>
          <w:szCs w:val="22"/>
          <w:lang w:eastAsia="en-PH" w:bidi="en-US"/>
        </w:rPr>
        <w:t xml:space="preserve"> 0.03</w:t>
      </w:r>
      <w:r w:rsidRPr="00935AC0">
        <w:rPr>
          <w:rFonts w:ascii="Arial" w:hAnsi="Arial" w:cs="Arial"/>
          <w:sz w:val="22"/>
          <w:szCs w:val="22"/>
          <w:lang w:eastAsia="en-PH" w:bidi="en-US"/>
        </w:rPr>
        <w:t xml:space="preserve"> billion</w:t>
      </w:r>
      <w:r>
        <w:rPr>
          <w:rFonts w:ascii="Arial" w:hAnsi="Arial" w:cs="Arial"/>
          <w:sz w:val="22"/>
          <w:szCs w:val="22"/>
          <w:lang w:eastAsia="en-PH" w:bidi="en-US"/>
        </w:rPr>
        <w:t>.</w:t>
      </w:r>
    </w:p>
    <w:p w:rsidR="00FF1D76" w:rsidRDefault="00FF1D76" w:rsidP="00333689">
      <w:pPr>
        <w:shd w:val="clear" w:color="auto" w:fill="FFFFFF"/>
        <w:spacing w:line="276" w:lineRule="auto"/>
        <w:outlineLvl w:val="2"/>
        <w:rPr>
          <w:rFonts w:ascii="Arial" w:hAnsi="Arial" w:cs="Arial"/>
          <w:b/>
          <w:bCs/>
          <w:color w:val="000000"/>
          <w:sz w:val="22"/>
          <w:szCs w:val="22"/>
          <w:lang w:eastAsia="en-PH"/>
        </w:rPr>
      </w:pPr>
    </w:p>
    <w:p w:rsidR="00CF60A2" w:rsidRDefault="00CF60A2" w:rsidP="00333689">
      <w:pPr>
        <w:shd w:val="clear" w:color="auto" w:fill="FFFFFF"/>
        <w:spacing w:before="100" w:beforeAutospacing="1" w:after="96" w:line="276" w:lineRule="auto"/>
        <w:outlineLvl w:val="2"/>
        <w:rPr>
          <w:rFonts w:ascii="Arial" w:hAnsi="Arial" w:cs="Arial"/>
          <w:b/>
          <w:bCs/>
          <w:color w:val="000000"/>
          <w:sz w:val="22"/>
          <w:szCs w:val="22"/>
          <w:lang w:eastAsia="en-PH"/>
        </w:rPr>
      </w:pPr>
      <w:r w:rsidRPr="00CF60A2">
        <w:rPr>
          <w:rFonts w:ascii="Arial" w:hAnsi="Arial" w:cs="Arial"/>
          <w:b/>
          <w:bCs/>
          <w:noProof/>
          <w:color w:val="000000"/>
          <w:sz w:val="22"/>
          <w:szCs w:val="22"/>
        </w:rPr>
        <w:lastRenderedPageBreak/>
        <w:drawing>
          <wp:inline distT="0" distB="0" distL="0" distR="0">
            <wp:extent cx="5732145" cy="3689150"/>
            <wp:effectExtent l="19050" t="0" r="20955" b="655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689" w:rsidRPr="00333689" w:rsidRDefault="00124F0A" w:rsidP="00D50828">
      <w:pPr>
        <w:shd w:val="clear" w:color="auto" w:fill="FFFFFF"/>
        <w:spacing w:before="100" w:beforeAutospacing="1" w:after="96" w:line="276" w:lineRule="auto"/>
        <w:outlineLvl w:val="2"/>
        <w:rPr>
          <w:rFonts w:ascii="Arial" w:hAnsi="Arial" w:cs="Arial"/>
          <w:b/>
          <w:bCs/>
          <w:color w:val="000000"/>
          <w:sz w:val="22"/>
          <w:szCs w:val="22"/>
          <w:lang w:eastAsia="en-PH"/>
        </w:rPr>
      </w:pPr>
      <w:r>
        <w:rPr>
          <w:rFonts w:ascii="Arial" w:hAnsi="Arial" w:cs="Arial"/>
          <w:b/>
          <w:bCs/>
          <w:color w:val="000000"/>
          <w:sz w:val="22"/>
          <w:szCs w:val="22"/>
          <w:lang w:eastAsia="en-PH"/>
        </w:rPr>
        <w:t>Region X</w:t>
      </w:r>
      <w:r w:rsidR="005E44F5">
        <w:rPr>
          <w:rFonts w:ascii="Arial" w:hAnsi="Arial" w:cs="Arial"/>
          <w:b/>
          <w:bCs/>
          <w:color w:val="000000"/>
          <w:sz w:val="22"/>
          <w:szCs w:val="22"/>
          <w:lang w:eastAsia="en-PH"/>
        </w:rPr>
        <w:t xml:space="preserve"> ranks 5</w:t>
      </w:r>
      <w:r w:rsidR="005E44F5" w:rsidRPr="005E44F5">
        <w:rPr>
          <w:rFonts w:ascii="Arial" w:hAnsi="Arial" w:cs="Arial"/>
          <w:b/>
          <w:bCs/>
          <w:color w:val="000000"/>
          <w:sz w:val="22"/>
          <w:szCs w:val="22"/>
          <w:vertAlign w:val="superscript"/>
          <w:lang w:eastAsia="en-PH"/>
        </w:rPr>
        <w:t>th</w:t>
      </w:r>
      <w:r w:rsidR="005E44F5">
        <w:rPr>
          <w:rFonts w:ascii="Arial" w:hAnsi="Arial" w:cs="Arial"/>
          <w:b/>
          <w:bCs/>
          <w:color w:val="000000"/>
          <w:sz w:val="22"/>
          <w:szCs w:val="22"/>
          <w:lang w:eastAsia="en-PH"/>
        </w:rPr>
        <w:t xml:space="preserve"> in the highest total outflow value of domestic trade</w:t>
      </w:r>
      <w:r w:rsidR="00474C40">
        <w:rPr>
          <w:rFonts w:ascii="Arial" w:hAnsi="Arial" w:cs="Arial"/>
          <w:b/>
          <w:bCs/>
          <w:color w:val="000000"/>
          <w:sz w:val="22"/>
          <w:szCs w:val="22"/>
          <w:lang w:eastAsia="en-PH"/>
        </w:rPr>
        <w:t xml:space="preserve"> and 5</w:t>
      </w:r>
      <w:r w:rsidR="00474C40" w:rsidRPr="00474C40">
        <w:rPr>
          <w:rFonts w:ascii="Arial" w:hAnsi="Arial" w:cs="Arial"/>
          <w:b/>
          <w:bCs/>
          <w:color w:val="000000"/>
          <w:sz w:val="22"/>
          <w:szCs w:val="22"/>
          <w:vertAlign w:val="superscript"/>
          <w:lang w:eastAsia="en-PH"/>
        </w:rPr>
        <w:t>th</w:t>
      </w:r>
      <w:r w:rsidR="00474C40">
        <w:rPr>
          <w:rFonts w:ascii="Arial" w:hAnsi="Arial" w:cs="Arial"/>
          <w:b/>
          <w:bCs/>
          <w:color w:val="000000"/>
          <w:sz w:val="22"/>
          <w:szCs w:val="22"/>
          <w:lang w:eastAsia="en-PH"/>
        </w:rPr>
        <w:t xml:space="preserve"> in the highest inflow value</w:t>
      </w:r>
    </w:p>
    <w:p w:rsidR="00E47ED2" w:rsidRDefault="00333689" w:rsidP="00D50828">
      <w:pPr>
        <w:shd w:val="clear" w:color="auto" w:fill="FFFFFF"/>
        <w:spacing w:before="100" w:beforeAutospacing="1" w:after="96" w:line="276" w:lineRule="auto"/>
        <w:jc w:val="both"/>
        <w:outlineLvl w:val="2"/>
        <w:rPr>
          <w:rFonts w:ascii="Arial" w:hAnsi="Arial" w:cs="Arial"/>
          <w:sz w:val="22"/>
          <w:szCs w:val="22"/>
          <w:lang w:eastAsia="en-PH" w:bidi="en-US"/>
        </w:rPr>
      </w:pPr>
      <w:r w:rsidRPr="00333689">
        <w:rPr>
          <w:rFonts w:ascii="Arial" w:hAnsi="Arial" w:cs="Arial"/>
          <w:i/>
          <w:sz w:val="22"/>
          <w:szCs w:val="22"/>
          <w:lang w:eastAsia="en-PH" w:bidi="en-US"/>
        </w:rPr>
        <w:t>Outflow</w:t>
      </w:r>
      <w:r w:rsidRPr="00333689">
        <w:rPr>
          <w:rFonts w:ascii="Arial" w:hAnsi="Arial" w:cs="Arial"/>
          <w:sz w:val="22"/>
          <w:szCs w:val="22"/>
          <w:lang w:eastAsia="en-PH" w:bidi="en-US"/>
        </w:rPr>
        <w:t> refers to the total value of commodities that goes out the specified region or province.</w:t>
      </w:r>
    </w:p>
    <w:p w:rsidR="00C5208B" w:rsidRDefault="008D28FC" w:rsidP="00C5208B">
      <w:pPr>
        <w:shd w:val="clear" w:color="auto" w:fill="FFFFFF"/>
        <w:spacing w:before="100" w:beforeAutospacing="1" w:after="96" w:line="276" w:lineRule="auto"/>
        <w:jc w:val="both"/>
        <w:outlineLvl w:val="2"/>
        <w:rPr>
          <w:rFonts w:ascii="Arial" w:hAnsi="Arial" w:cs="Arial"/>
          <w:sz w:val="22"/>
          <w:szCs w:val="22"/>
          <w:lang w:eastAsia="en-PH" w:bidi="en-US"/>
        </w:rPr>
      </w:pPr>
      <w:r>
        <w:rPr>
          <w:rFonts w:ascii="Arial" w:hAnsi="Arial" w:cs="Arial"/>
          <w:b/>
          <w:noProof/>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774700</wp:posOffset>
            </wp:positionV>
            <wp:extent cx="5732145" cy="3366770"/>
            <wp:effectExtent l="19050" t="0" r="20955" b="5080"/>
            <wp:wrapSquare wrapText="bothSides"/>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620AD">
        <w:rPr>
          <w:rFonts w:ascii="Arial" w:hAnsi="Arial" w:cs="Arial"/>
          <w:b/>
          <w:sz w:val="22"/>
          <w:szCs w:val="22"/>
          <w:lang w:eastAsia="en-PH" w:bidi="en-US"/>
        </w:rPr>
        <w:t>Northern Mindanao</w:t>
      </w:r>
      <w:r w:rsidR="00F117DB">
        <w:rPr>
          <w:rFonts w:ascii="Arial" w:hAnsi="Arial" w:cs="Arial"/>
          <w:sz w:val="22"/>
          <w:szCs w:val="22"/>
          <w:lang w:eastAsia="en-PH" w:bidi="en-US"/>
        </w:rPr>
        <w:t xml:space="preserve"> exhibited the </w:t>
      </w:r>
      <w:r w:rsidR="008A7CD1">
        <w:rPr>
          <w:rFonts w:ascii="Arial" w:hAnsi="Arial" w:cs="Arial"/>
          <w:sz w:val="22"/>
          <w:szCs w:val="22"/>
          <w:lang w:eastAsia="en-PH" w:bidi="en-US"/>
        </w:rPr>
        <w:t>f</w:t>
      </w:r>
      <w:r w:rsidR="002C16D5">
        <w:rPr>
          <w:rFonts w:ascii="Arial" w:hAnsi="Arial" w:cs="Arial"/>
          <w:sz w:val="22"/>
          <w:szCs w:val="22"/>
          <w:lang w:eastAsia="en-PH" w:bidi="en-US"/>
        </w:rPr>
        <w:t xml:space="preserve">ifth </w:t>
      </w:r>
      <w:r w:rsidR="006D6281">
        <w:rPr>
          <w:rFonts w:ascii="Arial" w:hAnsi="Arial" w:cs="Arial"/>
          <w:sz w:val="22"/>
          <w:szCs w:val="22"/>
          <w:lang w:eastAsia="en-PH" w:bidi="en-US"/>
        </w:rPr>
        <w:t>highest</w:t>
      </w:r>
      <w:r w:rsidR="00F117DB">
        <w:rPr>
          <w:rFonts w:ascii="Arial" w:hAnsi="Arial" w:cs="Arial"/>
          <w:sz w:val="22"/>
          <w:szCs w:val="22"/>
          <w:lang w:eastAsia="en-PH" w:bidi="en-US"/>
        </w:rPr>
        <w:t xml:space="preserve"> </w:t>
      </w:r>
      <w:r w:rsidR="00F06F3D">
        <w:rPr>
          <w:rFonts w:ascii="Arial" w:hAnsi="Arial" w:cs="Arial"/>
          <w:sz w:val="22"/>
          <w:szCs w:val="22"/>
          <w:lang w:eastAsia="en-PH" w:bidi="en-US"/>
        </w:rPr>
        <w:t xml:space="preserve">total </w:t>
      </w:r>
      <w:r w:rsidR="00F117DB">
        <w:rPr>
          <w:rFonts w:ascii="Arial" w:hAnsi="Arial" w:cs="Arial"/>
          <w:sz w:val="22"/>
          <w:szCs w:val="22"/>
          <w:lang w:eastAsia="en-PH" w:bidi="en-US"/>
        </w:rPr>
        <w:t>outflow</w:t>
      </w:r>
      <w:r w:rsidR="00D11812">
        <w:rPr>
          <w:rFonts w:ascii="Arial" w:hAnsi="Arial" w:cs="Arial"/>
          <w:sz w:val="22"/>
          <w:szCs w:val="22"/>
          <w:lang w:eastAsia="en-PH" w:bidi="en-US"/>
        </w:rPr>
        <w:t xml:space="preserve"> value</w:t>
      </w:r>
      <w:r w:rsidR="00F117DB">
        <w:rPr>
          <w:rFonts w:ascii="Arial" w:hAnsi="Arial" w:cs="Arial"/>
          <w:sz w:val="22"/>
          <w:szCs w:val="22"/>
          <w:lang w:eastAsia="en-PH" w:bidi="en-US"/>
        </w:rPr>
        <w:t xml:space="preserve"> amounting to P</w:t>
      </w:r>
      <w:r w:rsidR="0032454E">
        <w:rPr>
          <w:rFonts w:ascii="Arial" w:hAnsi="Arial" w:cs="Arial"/>
          <w:sz w:val="22"/>
          <w:szCs w:val="22"/>
          <w:lang w:eastAsia="en-PH" w:bidi="en-US"/>
        </w:rPr>
        <w:t>h</w:t>
      </w:r>
      <w:r w:rsidR="00F117DB">
        <w:rPr>
          <w:rFonts w:ascii="Arial" w:hAnsi="Arial" w:cs="Arial"/>
          <w:sz w:val="22"/>
          <w:szCs w:val="22"/>
          <w:lang w:eastAsia="en-PH" w:bidi="en-US"/>
        </w:rPr>
        <w:t xml:space="preserve">P17.58 </w:t>
      </w:r>
      <w:r w:rsidR="008A7CD1">
        <w:rPr>
          <w:rFonts w:ascii="Arial" w:hAnsi="Arial" w:cs="Arial"/>
          <w:sz w:val="22"/>
          <w:szCs w:val="22"/>
          <w:lang w:eastAsia="en-PH" w:bidi="en-US"/>
        </w:rPr>
        <w:t>billion</w:t>
      </w:r>
      <w:r w:rsidR="00D11812">
        <w:rPr>
          <w:rFonts w:ascii="Arial" w:hAnsi="Arial" w:cs="Arial"/>
          <w:sz w:val="22"/>
          <w:szCs w:val="22"/>
          <w:lang w:eastAsia="en-PH" w:bidi="en-US"/>
        </w:rPr>
        <w:t xml:space="preserve"> for the first quarter of 2019</w:t>
      </w:r>
      <w:r w:rsidR="00F06F3D">
        <w:rPr>
          <w:rFonts w:ascii="Arial" w:hAnsi="Arial" w:cs="Arial"/>
          <w:sz w:val="22"/>
          <w:szCs w:val="22"/>
          <w:lang w:eastAsia="en-PH" w:bidi="en-US"/>
        </w:rPr>
        <w:t xml:space="preserve"> or </w:t>
      </w:r>
      <w:r w:rsidR="0032454E">
        <w:rPr>
          <w:rFonts w:ascii="Arial" w:hAnsi="Arial" w:cs="Arial"/>
          <w:sz w:val="22"/>
          <w:szCs w:val="22"/>
          <w:lang w:eastAsia="en-PH" w:bidi="en-US"/>
        </w:rPr>
        <w:t>10.1</w:t>
      </w:r>
      <w:r w:rsidR="00F06F3D">
        <w:rPr>
          <w:rFonts w:ascii="Arial" w:hAnsi="Arial" w:cs="Arial"/>
          <w:sz w:val="22"/>
          <w:szCs w:val="22"/>
          <w:lang w:eastAsia="en-PH" w:bidi="en-US"/>
        </w:rPr>
        <w:t xml:space="preserve"> percent of the total outflow</w:t>
      </w:r>
      <w:r w:rsidR="001A7439">
        <w:rPr>
          <w:rFonts w:ascii="Arial" w:hAnsi="Arial" w:cs="Arial"/>
          <w:sz w:val="22"/>
          <w:szCs w:val="22"/>
          <w:lang w:eastAsia="en-PH" w:bidi="en-US"/>
        </w:rPr>
        <w:t xml:space="preserve"> of the country       (Figure </w:t>
      </w:r>
      <w:r w:rsidR="00CF60A2">
        <w:rPr>
          <w:rFonts w:ascii="Arial" w:hAnsi="Arial" w:cs="Arial"/>
          <w:sz w:val="22"/>
          <w:szCs w:val="22"/>
          <w:lang w:eastAsia="en-PH" w:bidi="en-US"/>
        </w:rPr>
        <w:t>6</w:t>
      </w:r>
      <w:r w:rsidR="0032454E">
        <w:rPr>
          <w:rFonts w:ascii="Arial" w:hAnsi="Arial" w:cs="Arial"/>
          <w:sz w:val="22"/>
          <w:szCs w:val="22"/>
          <w:lang w:eastAsia="en-PH" w:bidi="en-US"/>
        </w:rPr>
        <w:t>)</w:t>
      </w:r>
      <w:r w:rsidR="00F06F3D">
        <w:rPr>
          <w:rFonts w:ascii="Arial" w:hAnsi="Arial" w:cs="Arial"/>
          <w:sz w:val="22"/>
          <w:szCs w:val="22"/>
          <w:lang w:eastAsia="en-PH" w:bidi="en-US"/>
        </w:rPr>
        <w:t xml:space="preserve">. </w:t>
      </w:r>
    </w:p>
    <w:p w:rsidR="00E47ED2" w:rsidRDefault="00E47ED2" w:rsidP="00C5208B">
      <w:pPr>
        <w:shd w:val="clear" w:color="auto" w:fill="FFFFFF"/>
        <w:spacing w:before="100" w:beforeAutospacing="1" w:after="96" w:line="276" w:lineRule="auto"/>
        <w:jc w:val="both"/>
        <w:outlineLvl w:val="2"/>
        <w:rPr>
          <w:rFonts w:ascii="Arial" w:hAnsi="Arial" w:cs="Arial"/>
          <w:sz w:val="22"/>
          <w:szCs w:val="22"/>
          <w:lang w:eastAsia="en-PH" w:bidi="en-US"/>
        </w:rPr>
      </w:pPr>
      <w:r>
        <w:rPr>
          <w:rFonts w:ascii="Arial" w:hAnsi="Arial" w:cs="Arial"/>
          <w:bCs/>
          <w:color w:val="000000"/>
          <w:sz w:val="22"/>
          <w:szCs w:val="22"/>
          <w:lang w:eastAsia="en-PH"/>
        </w:rPr>
        <w:lastRenderedPageBreak/>
        <w:t xml:space="preserve">On the other hand, </w:t>
      </w:r>
      <w:r w:rsidRPr="0030673F">
        <w:rPr>
          <w:rFonts w:ascii="Arial" w:hAnsi="Arial" w:cs="Arial"/>
          <w:i/>
          <w:sz w:val="22"/>
          <w:szCs w:val="22"/>
          <w:lang w:eastAsia="en-PH" w:bidi="en-US"/>
        </w:rPr>
        <w:t>Inflow </w:t>
      </w:r>
      <w:r w:rsidRPr="0030673F">
        <w:rPr>
          <w:rFonts w:ascii="Arial" w:hAnsi="Arial" w:cs="Arial"/>
          <w:sz w:val="22"/>
          <w:szCs w:val="22"/>
          <w:lang w:eastAsia="en-PH" w:bidi="en-US"/>
        </w:rPr>
        <w:t>refers to the total value of commodities that comes in the specified region or province.</w:t>
      </w:r>
    </w:p>
    <w:p w:rsidR="0030673F" w:rsidRPr="0030673F" w:rsidRDefault="004620AD" w:rsidP="00D50828">
      <w:pPr>
        <w:shd w:val="clear" w:color="auto" w:fill="FFFFFF"/>
        <w:spacing w:before="96" w:after="192" w:line="276" w:lineRule="auto"/>
        <w:jc w:val="both"/>
        <w:rPr>
          <w:rFonts w:ascii="Arial" w:hAnsi="Arial" w:cs="Arial"/>
          <w:sz w:val="22"/>
          <w:szCs w:val="22"/>
          <w:lang w:eastAsia="en-PH" w:bidi="en-US"/>
        </w:rPr>
      </w:pPr>
      <w:r>
        <w:rPr>
          <w:rFonts w:ascii="Arial" w:hAnsi="Arial" w:cs="Arial"/>
          <w:b/>
          <w:sz w:val="22"/>
          <w:szCs w:val="22"/>
          <w:lang w:eastAsia="en-PH" w:bidi="en-US"/>
        </w:rPr>
        <w:t>Northern Mindanao</w:t>
      </w:r>
      <w:r w:rsidR="009301C4">
        <w:rPr>
          <w:rFonts w:ascii="Arial" w:hAnsi="Arial" w:cs="Arial"/>
          <w:sz w:val="22"/>
          <w:szCs w:val="22"/>
          <w:lang w:eastAsia="en-PH" w:bidi="en-US"/>
        </w:rPr>
        <w:t xml:space="preserve"> </w:t>
      </w:r>
      <w:r w:rsidR="00D44A56">
        <w:rPr>
          <w:rFonts w:ascii="Arial" w:hAnsi="Arial" w:cs="Arial"/>
          <w:sz w:val="22"/>
          <w:szCs w:val="22"/>
          <w:lang w:eastAsia="en-PH" w:bidi="en-US"/>
        </w:rPr>
        <w:t>ranked fifth</w:t>
      </w:r>
      <w:r w:rsidR="00F27375">
        <w:rPr>
          <w:rFonts w:ascii="Arial" w:hAnsi="Arial" w:cs="Arial"/>
          <w:sz w:val="22"/>
          <w:szCs w:val="22"/>
          <w:lang w:eastAsia="en-PH" w:bidi="en-US"/>
        </w:rPr>
        <w:t xml:space="preserve"> among the regions with the highest inflow value amounting </w:t>
      </w:r>
      <w:r>
        <w:rPr>
          <w:rFonts w:ascii="Arial" w:hAnsi="Arial" w:cs="Arial"/>
          <w:sz w:val="22"/>
          <w:szCs w:val="22"/>
          <w:lang w:eastAsia="en-PH" w:bidi="en-US"/>
        </w:rPr>
        <w:t xml:space="preserve">to </w:t>
      </w:r>
      <w:r w:rsidR="00D44A56">
        <w:rPr>
          <w:rFonts w:ascii="Arial" w:hAnsi="Arial" w:cs="Arial"/>
          <w:sz w:val="22"/>
          <w:szCs w:val="22"/>
          <w:lang w:eastAsia="en-PH" w:bidi="en-US"/>
        </w:rPr>
        <w:t>Ph</w:t>
      </w:r>
      <w:r w:rsidRPr="0030673F">
        <w:rPr>
          <w:rFonts w:ascii="Arial" w:hAnsi="Arial" w:cs="Arial"/>
          <w:sz w:val="22"/>
          <w:szCs w:val="22"/>
          <w:lang w:eastAsia="en-PH" w:bidi="en-US"/>
        </w:rPr>
        <w:t>P10.56</w:t>
      </w:r>
      <w:r w:rsidR="00F27375">
        <w:rPr>
          <w:rFonts w:ascii="Arial" w:hAnsi="Arial" w:cs="Arial"/>
          <w:sz w:val="22"/>
          <w:szCs w:val="22"/>
          <w:lang w:eastAsia="en-PH" w:bidi="en-US"/>
        </w:rPr>
        <w:t xml:space="preserve"> billion </w:t>
      </w:r>
      <w:r>
        <w:rPr>
          <w:rFonts w:ascii="Arial" w:hAnsi="Arial" w:cs="Arial"/>
          <w:sz w:val="22"/>
          <w:szCs w:val="22"/>
          <w:lang w:eastAsia="en-PH" w:bidi="en-US"/>
        </w:rPr>
        <w:t>for the first quarter of 2019</w:t>
      </w:r>
      <w:r w:rsidR="00D44A56">
        <w:rPr>
          <w:rFonts w:ascii="Arial" w:hAnsi="Arial" w:cs="Arial"/>
          <w:sz w:val="22"/>
          <w:szCs w:val="22"/>
          <w:lang w:eastAsia="en-PH" w:bidi="en-US"/>
        </w:rPr>
        <w:t xml:space="preserve"> (Figure 5).</w:t>
      </w:r>
      <w:r w:rsidR="000C0636">
        <w:rPr>
          <w:rFonts w:ascii="Arial" w:hAnsi="Arial" w:cs="Arial"/>
          <w:sz w:val="22"/>
          <w:szCs w:val="22"/>
          <w:lang w:eastAsia="en-PH" w:bidi="en-US"/>
        </w:rPr>
        <w:t xml:space="preserve"> </w:t>
      </w:r>
    </w:p>
    <w:p w:rsidR="0030673F" w:rsidRDefault="0030673F" w:rsidP="00C50939">
      <w:pPr>
        <w:tabs>
          <w:tab w:val="left" w:pos="6840"/>
        </w:tabs>
        <w:rPr>
          <w:rFonts w:ascii="Arial" w:hAnsi="Arial" w:cs="Arial"/>
          <w:sz w:val="22"/>
          <w:szCs w:val="22"/>
        </w:rPr>
      </w:pPr>
    </w:p>
    <w:p w:rsidR="0030673F" w:rsidRDefault="009A13DD" w:rsidP="007B3BCA">
      <w:pPr>
        <w:tabs>
          <w:tab w:val="left" w:pos="6840"/>
        </w:tabs>
        <w:jc w:val="center"/>
        <w:rPr>
          <w:rFonts w:ascii="Arial" w:hAnsi="Arial" w:cs="Arial"/>
          <w:sz w:val="22"/>
          <w:szCs w:val="22"/>
        </w:rPr>
      </w:pPr>
      <w:r w:rsidRPr="009A13DD">
        <w:rPr>
          <w:rFonts w:ascii="Arial" w:hAnsi="Arial" w:cs="Arial"/>
          <w:noProof/>
          <w:sz w:val="22"/>
          <w:szCs w:val="22"/>
        </w:rPr>
        <w:drawing>
          <wp:inline distT="0" distB="0" distL="0" distR="0">
            <wp:extent cx="5800725" cy="3409950"/>
            <wp:effectExtent l="19050" t="0" r="9525"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673F" w:rsidRDefault="0030673F" w:rsidP="009A13DD">
      <w:pPr>
        <w:tabs>
          <w:tab w:val="left" w:pos="6840"/>
        </w:tabs>
        <w:jc w:val="center"/>
        <w:rPr>
          <w:rFonts w:ascii="Arial" w:hAnsi="Arial" w:cs="Arial"/>
          <w:sz w:val="22"/>
          <w:szCs w:val="22"/>
        </w:rPr>
      </w:pPr>
    </w:p>
    <w:p w:rsidR="00C24A76" w:rsidRDefault="00C24A76" w:rsidP="0030673F">
      <w:pPr>
        <w:tabs>
          <w:tab w:val="left" w:pos="6840"/>
        </w:tabs>
        <w:jc w:val="center"/>
        <w:rPr>
          <w:rFonts w:ascii="Arial" w:hAnsi="Arial" w:cs="Arial"/>
          <w:sz w:val="22"/>
          <w:szCs w:val="22"/>
        </w:rPr>
      </w:pPr>
    </w:p>
    <w:p w:rsidR="00D50828" w:rsidRDefault="00D50828" w:rsidP="00C779CC">
      <w:pPr>
        <w:shd w:val="clear" w:color="auto" w:fill="FFFFFF"/>
        <w:spacing w:line="360" w:lineRule="auto"/>
        <w:outlineLvl w:val="2"/>
        <w:rPr>
          <w:rFonts w:ascii="Arial" w:hAnsi="Arial" w:cs="Arial"/>
          <w:b/>
          <w:bCs/>
          <w:color w:val="000000"/>
          <w:sz w:val="22"/>
          <w:szCs w:val="22"/>
          <w:lang w:eastAsia="en-PH"/>
        </w:rPr>
      </w:pPr>
    </w:p>
    <w:p w:rsidR="00C779CC" w:rsidRPr="00C779CC" w:rsidRDefault="0030673F" w:rsidP="00D50828">
      <w:pPr>
        <w:shd w:val="clear" w:color="auto" w:fill="FFFFFF"/>
        <w:spacing w:line="276" w:lineRule="auto"/>
        <w:outlineLvl w:val="2"/>
        <w:rPr>
          <w:rFonts w:ascii="Arial" w:hAnsi="Arial" w:cs="Arial"/>
          <w:b/>
          <w:bCs/>
          <w:color w:val="000000"/>
          <w:sz w:val="22"/>
          <w:szCs w:val="22"/>
          <w:lang w:eastAsia="en-PH"/>
        </w:rPr>
      </w:pPr>
      <w:r w:rsidRPr="0030673F">
        <w:rPr>
          <w:rFonts w:ascii="Arial" w:hAnsi="Arial" w:cs="Arial"/>
          <w:b/>
          <w:bCs/>
          <w:color w:val="000000"/>
          <w:sz w:val="22"/>
          <w:szCs w:val="22"/>
          <w:lang w:eastAsia="en-PH"/>
        </w:rPr>
        <w:t>Trade balance decelerates in the first quarter of 2019</w:t>
      </w:r>
    </w:p>
    <w:p w:rsidR="0030673F" w:rsidRPr="00C24A76" w:rsidRDefault="0030673F" w:rsidP="00D50828">
      <w:pPr>
        <w:shd w:val="clear" w:color="auto" w:fill="FFFFFF"/>
        <w:spacing w:before="96" w:after="192" w:line="276" w:lineRule="auto"/>
        <w:jc w:val="both"/>
        <w:rPr>
          <w:rFonts w:ascii="Arial" w:hAnsi="Arial" w:cs="Arial"/>
          <w:sz w:val="22"/>
          <w:szCs w:val="22"/>
          <w:lang w:eastAsia="en-PH"/>
        </w:rPr>
      </w:pPr>
      <w:r w:rsidRPr="00C24A76">
        <w:rPr>
          <w:rFonts w:ascii="Arial" w:hAnsi="Arial" w:cs="Arial"/>
          <w:i/>
          <w:iCs/>
          <w:sz w:val="22"/>
          <w:szCs w:val="22"/>
          <w:lang w:eastAsia="en-PH"/>
        </w:rPr>
        <w:t>Trade Balance</w:t>
      </w:r>
      <w:r w:rsidRPr="00C24A76">
        <w:rPr>
          <w:rFonts w:ascii="Arial" w:hAnsi="Arial" w:cs="Arial"/>
          <w:sz w:val="22"/>
          <w:szCs w:val="22"/>
          <w:lang w:eastAsia="en-PH"/>
        </w:rPr>
        <w:t> is the difference between the outflow and inflow that is, outflow value minus inflow value.</w:t>
      </w:r>
    </w:p>
    <w:p w:rsidR="00C24A76" w:rsidRDefault="00401CF4" w:rsidP="00D50828">
      <w:pPr>
        <w:shd w:val="clear" w:color="auto" w:fill="FFFFFF"/>
        <w:spacing w:before="96" w:after="192" w:line="276" w:lineRule="auto"/>
        <w:jc w:val="both"/>
        <w:rPr>
          <w:rFonts w:ascii="Arial" w:hAnsi="Arial" w:cs="Arial"/>
          <w:sz w:val="22"/>
          <w:szCs w:val="22"/>
          <w:lang w:eastAsia="en-PH"/>
        </w:rPr>
      </w:pPr>
      <w:r>
        <w:rPr>
          <w:rFonts w:ascii="Arial" w:hAnsi="Arial" w:cs="Arial"/>
          <w:sz w:val="22"/>
          <w:szCs w:val="22"/>
          <w:lang w:eastAsia="en-PH"/>
        </w:rPr>
        <w:t>Th</w:t>
      </w:r>
      <w:r w:rsidR="00C24A76">
        <w:rPr>
          <w:rFonts w:ascii="Arial" w:hAnsi="Arial" w:cs="Arial"/>
          <w:sz w:val="22"/>
          <w:szCs w:val="22"/>
          <w:lang w:eastAsia="en-PH"/>
        </w:rPr>
        <w:t xml:space="preserve">ere were a total of </w:t>
      </w:r>
      <w:r>
        <w:rPr>
          <w:rFonts w:ascii="Arial" w:hAnsi="Arial" w:cs="Arial"/>
          <w:sz w:val="22"/>
          <w:szCs w:val="22"/>
          <w:lang w:eastAsia="en-PH"/>
        </w:rPr>
        <w:t>six regions out of seventeen regions that</w:t>
      </w:r>
      <w:r w:rsidR="00C24A76">
        <w:rPr>
          <w:rFonts w:ascii="Arial" w:hAnsi="Arial" w:cs="Arial"/>
          <w:sz w:val="22"/>
          <w:szCs w:val="22"/>
          <w:lang w:eastAsia="en-PH"/>
        </w:rPr>
        <w:t xml:space="preserve"> ha</w:t>
      </w:r>
      <w:r>
        <w:rPr>
          <w:rFonts w:ascii="Arial" w:hAnsi="Arial" w:cs="Arial"/>
          <w:sz w:val="22"/>
          <w:szCs w:val="22"/>
          <w:lang w:eastAsia="en-PH"/>
        </w:rPr>
        <w:t xml:space="preserve">d registered favorable balances in the first quarter of 2019. </w:t>
      </w:r>
      <w:r w:rsidRPr="00401CF4">
        <w:rPr>
          <w:rFonts w:ascii="Arial" w:hAnsi="Arial" w:cs="Arial"/>
          <w:b/>
          <w:sz w:val="22"/>
          <w:szCs w:val="22"/>
          <w:lang w:eastAsia="en-PH"/>
        </w:rPr>
        <w:t>N</w:t>
      </w:r>
      <w:r w:rsidR="009A13DD">
        <w:rPr>
          <w:rFonts w:ascii="Arial" w:hAnsi="Arial" w:cs="Arial"/>
          <w:b/>
          <w:sz w:val="22"/>
          <w:szCs w:val="22"/>
          <w:lang w:eastAsia="en-PH"/>
        </w:rPr>
        <w:t>CR</w:t>
      </w:r>
      <w:r>
        <w:rPr>
          <w:rFonts w:ascii="Arial" w:hAnsi="Arial" w:cs="Arial"/>
          <w:sz w:val="22"/>
          <w:szCs w:val="22"/>
          <w:lang w:eastAsia="en-PH"/>
        </w:rPr>
        <w:t xml:space="preserve"> posted the highest trade balance of </w:t>
      </w:r>
      <w:r w:rsidRPr="00C24A76">
        <w:rPr>
          <w:rFonts w:ascii="Arial" w:hAnsi="Arial" w:cs="Arial"/>
          <w:sz w:val="22"/>
          <w:szCs w:val="22"/>
          <w:lang w:eastAsia="en-PH"/>
        </w:rPr>
        <w:t>PHP25.55 billion</w:t>
      </w:r>
      <w:r>
        <w:rPr>
          <w:rFonts w:ascii="Arial" w:hAnsi="Arial" w:cs="Arial"/>
          <w:sz w:val="22"/>
          <w:szCs w:val="22"/>
          <w:lang w:eastAsia="en-PH"/>
        </w:rPr>
        <w:t xml:space="preserve">, </w:t>
      </w:r>
      <w:r w:rsidRPr="00C24A76">
        <w:rPr>
          <w:rFonts w:ascii="Arial" w:hAnsi="Arial" w:cs="Arial"/>
          <w:sz w:val="22"/>
          <w:szCs w:val="22"/>
          <w:lang w:eastAsia="en-PH"/>
        </w:rPr>
        <w:t>followed by </w:t>
      </w:r>
      <w:r w:rsidRPr="00C24A76">
        <w:rPr>
          <w:rFonts w:ascii="Arial" w:hAnsi="Arial" w:cs="Arial"/>
          <w:b/>
          <w:bCs/>
          <w:sz w:val="22"/>
          <w:szCs w:val="22"/>
          <w:lang w:eastAsia="en-PH"/>
        </w:rPr>
        <w:t xml:space="preserve">Eastern </w:t>
      </w:r>
      <w:proofErr w:type="spellStart"/>
      <w:r w:rsidRPr="00C24A76">
        <w:rPr>
          <w:rFonts w:ascii="Arial" w:hAnsi="Arial" w:cs="Arial"/>
          <w:b/>
          <w:bCs/>
          <w:sz w:val="22"/>
          <w:szCs w:val="22"/>
          <w:lang w:eastAsia="en-PH"/>
        </w:rPr>
        <w:t>Visayas</w:t>
      </w:r>
      <w:proofErr w:type="spellEnd"/>
      <w:r w:rsidRPr="00C24A76">
        <w:rPr>
          <w:rFonts w:ascii="Arial" w:hAnsi="Arial" w:cs="Arial"/>
          <w:sz w:val="22"/>
          <w:szCs w:val="22"/>
          <w:lang w:eastAsia="en-PH"/>
        </w:rPr>
        <w:t> with trade balance amounting to PHP13.44 billion</w:t>
      </w:r>
      <w:r>
        <w:rPr>
          <w:rFonts w:ascii="Arial" w:hAnsi="Arial" w:cs="Arial"/>
          <w:sz w:val="22"/>
          <w:szCs w:val="22"/>
          <w:lang w:eastAsia="en-PH"/>
        </w:rPr>
        <w:t xml:space="preserve">, Central Luzon </w:t>
      </w:r>
      <w:r w:rsidRPr="00C24A76">
        <w:rPr>
          <w:rFonts w:ascii="Arial" w:hAnsi="Arial" w:cs="Arial"/>
          <w:sz w:val="22"/>
          <w:szCs w:val="22"/>
          <w:lang w:eastAsia="en-PH"/>
        </w:rPr>
        <w:t>with trade balance amounting to PHP13.44 billion</w:t>
      </w:r>
      <w:r w:rsidR="00DB2A01">
        <w:rPr>
          <w:rFonts w:ascii="Arial" w:hAnsi="Arial" w:cs="Arial"/>
          <w:sz w:val="22"/>
          <w:szCs w:val="22"/>
          <w:lang w:eastAsia="en-PH"/>
        </w:rPr>
        <w:t xml:space="preserve">, </w:t>
      </w:r>
      <w:r w:rsidR="00DB2A01" w:rsidRPr="00DB2A01">
        <w:rPr>
          <w:rFonts w:ascii="Arial" w:hAnsi="Arial" w:cs="Arial"/>
          <w:b/>
          <w:sz w:val="22"/>
          <w:szCs w:val="22"/>
          <w:lang w:eastAsia="en-PH"/>
        </w:rPr>
        <w:t>Bicol</w:t>
      </w:r>
      <w:r w:rsidR="00DB2A01">
        <w:rPr>
          <w:rFonts w:ascii="Arial" w:hAnsi="Arial" w:cs="Arial"/>
          <w:sz w:val="22"/>
          <w:szCs w:val="22"/>
          <w:lang w:eastAsia="en-PH"/>
        </w:rPr>
        <w:t xml:space="preserve"> with </w:t>
      </w:r>
      <w:r w:rsidR="00DB2A01" w:rsidRPr="00C24A76">
        <w:rPr>
          <w:rFonts w:ascii="Arial" w:hAnsi="Arial" w:cs="Arial"/>
          <w:sz w:val="22"/>
          <w:szCs w:val="22"/>
          <w:lang w:eastAsia="en-PH"/>
        </w:rPr>
        <w:t>PHP1</w:t>
      </w:r>
      <w:r w:rsidR="00DB2A01">
        <w:rPr>
          <w:rFonts w:ascii="Arial" w:hAnsi="Arial" w:cs="Arial"/>
          <w:sz w:val="22"/>
          <w:szCs w:val="22"/>
          <w:lang w:eastAsia="en-PH"/>
        </w:rPr>
        <w:t xml:space="preserve">.56 </w:t>
      </w:r>
      <w:r w:rsidR="00DB2A01" w:rsidRPr="00C24A76">
        <w:rPr>
          <w:rFonts w:ascii="Arial" w:hAnsi="Arial" w:cs="Arial"/>
          <w:sz w:val="22"/>
          <w:szCs w:val="22"/>
          <w:lang w:eastAsia="en-PH"/>
        </w:rPr>
        <w:t>billion</w:t>
      </w:r>
      <w:r w:rsidR="00DB2A01">
        <w:rPr>
          <w:rFonts w:ascii="Arial" w:hAnsi="Arial" w:cs="Arial"/>
          <w:sz w:val="22"/>
          <w:szCs w:val="22"/>
          <w:lang w:eastAsia="en-PH"/>
        </w:rPr>
        <w:t xml:space="preserve">, </w:t>
      </w:r>
      <w:r w:rsidR="00DB2A01" w:rsidRPr="00DB2A01">
        <w:rPr>
          <w:rFonts w:ascii="Arial" w:hAnsi="Arial" w:cs="Arial"/>
          <w:b/>
          <w:sz w:val="22"/>
          <w:szCs w:val="22"/>
          <w:lang w:eastAsia="en-PH"/>
        </w:rPr>
        <w:t>ARMM</w:t>
      </w:r>
      <w:r w:rsidR="00DB2A01">
        <w:rPr>
          <w:rFonts w:ascii="Arial" w:hAnsi="Arial" w:cs="Arial"/>
          <w:sz w:val="22"/>
          <w:szCs w:val="22"/>
          <w:lang w:eastAsia="en-PH"/>
        </w:rPr>
        <w:t xml:space="preserve"> with </w:t>
      </w:r>
      <w:r w:rsidR="00DB2A01" w:rsidRPr="00C24A76">
        <w:rPr>
          <w:rFonts w:ascii="Arial" w:hAnsi="Arial" w:cs="Arial"/>
          <w:sz w:val="22"/>
          <w:szCs w:val="22"/>
          <w:lang w:eastAsia="en-PH"/>
        </w:rPr>
        <w:t>PHP1.26 billion</w:t>
      </w:r>
      <w:r w:rsidR="00DB2A01">
        <w:rPr>
          <w:rFonts w:ascii="Arial" w:hAnsi="Arial" w:cs="Arial"/>
          <w:sz w:val="22"/>
          <w:szCs w:val="22"/>
          <w:lang w:eastAsia="en-PH"/>
        </w:rPr>
        <w:t xml:space="preserve"> and </w:t>
      </w:r>
      <w:r w:rsidR="00DB2A01" w:rsidRPr="00C24A76">
        <w:rPr>
          <w:rFonts w:ascii="Arial" w:hAnsi="Arial" w:cs="Arial"/>
          <w:b/>
          <w:bCs/>
          <w:sz w:val="22"/>
          <w:szCs w:val="22"/>
          <w:lang w:eastAsia="en-PH"/>
        </w:rPr>
        <w:t>SOCCSKSARGEN</w:t>
      </w:r>
      <w:r w:rsidR="00DB2A01">
        <w:rPr>
          <w:rFonts w:ascii="Arial" w:hAnsi="Arial" w:cs="Arial"/>
          <w:b/>
          <w:bCs/>
          <w:sz w:val="22"/>
          <w:szCs w:val="22"/>
          <w:lang w:eastAsia="en-PH"/>
        </w:rPr>
        <w:t xml:space="preserve"> </w:t>
      </w:r>
      <w:r w:rsidR="00DB2A01" w:rsidRPr="00DB2A01">
        <w:rPr>
          <w:rFonts w:ascii="Arial" w:hAnsi="Arial" w:cs="Arial"/>
          <w:bCs/>
          <w:sz w:val="22"/>
          <w:szCs w:val="22"/>
          <w:lang w:eastAsia="en-PH"/>
        </w:rPr>
        <w:t>with</w:t>
      </w:r>
      <w:r w:rsidR="00DB2A01">
        <w:rPr>
          <w:rFonts w:ascii="Arial" w:hAnsi="Arial" w:cs="Arial"/>
          <w:bCs/>
          <w:sz w:val="22"/>
          <w:szCs w:val="22"/>
          <w:lang w:eastAsia="en-PH"/>
        </w:rPr>
        <w:t xml:space="preserve"> trade balance of </w:t>
      </w:r>
      <w:r w:rsidR="00DB2A01" w:rsidRPr="00C24A76">
        <w:rPr>
          <w:rFonts w:ascii="Arial" w:hAnsi="Arial" w:cs="Arial"/>
          <w:sz w:val="22"/>
          <w:szCs w:val="22"/>
          <w:lang w:eastAsia="en-PH"/>
        </w:rPr>
        <w:t>PHP121.94 million</w:t>
      </w:r>
      <w:r w:rsidR="00DB2A01">
        <w:rPr>
          <w:rFonts w:ascii="Arial" w:hAnsi="Arial" w:cs="Arial"/>
          <w:sz w:val="22"/>
          <w:szCs w:val="22"/>
          <w:lang w:eastAsia="en-PH"/>
        </w:rPr>
        <w:t>.</w:t>
      </w:r>
    </w:p>
    <w:p w:rsidR="00216C70" w:rsidRPr="000860A3" w:rsidRDefault="0030673F" w:rsidP="00D50828">
      <w:pPr>
        <w:shd w:val="clear" w:color="auto" w:fill="FFFFFF"/>
        <w:spacing w:before="96" w:after="192" w:line="276" w:lineRule="auto"/>
        <w:jc w:val="both"/>
        <w:rPr>
          <w:rFonts w:ascii="Arial" w:hAnsi="Arial" w:cs="Arial"/>
          <w:sz w:val="22"/>
          <w:szCs w:val="22"/>
          <w:lang w:eastAsia="en-PH"/>
        </w:rPr>
      </w:pPr>
      <w:r w:rsidRPr="000860A3">
        <w:rPr>
          <w:rFonts w:ascii="Arial" w:hAnsi="Arial" w:cs="Arial"/>
          <w:sz w:val="22"/>
          <w:szCs w:val="22"/>
          <w:lang w:eastAsia="en-PH"/>
        </w:rPr>
        <w:t>On the other hand, the</w:t>
      </w:r>
      <w:r w:rsidR="000860A3" w:rsidRPr="000860A3">
        <w:rPr>
          <w:rFonts w:ascii="Arial" w:hAnsi="Arial" w:cs="Arial"/>
          <w:sz w:val="22"/>
          <w:szCs w:val="22"/>
          <w:lang w:eastAsia="en-PH"/>
        </w:rPr>
        <w:t>re were</w:t>
      </w:r>
      <w:r w:rsidRPr="000860A3">
        <w:rPr>
          <w:rFonts w:ascii="Arial" w:hAnsi="Arial" w:cs="Arial"/>
          <w:sz w:val="22"/>
          <w:szCs w:val="22"/>
          <w:lang w:eastAsia="en-PH"/>
        </w:rPr>
        <w:t xml:space="preserve"> </w:t>
      </w:r>
      <w:r w:rsidR="000860A3" w:rsidRPr="000860A3">
        <w:rPr>
          <w:rFonts w:ascii="Arial" w:hAnsi="Arial" w:cs="Arial"/>
          <w:sz w:val="22"/>
          <w:szCs w:val="22"/>
          <w:lang w:eastAsia="en-PH"/>
        </w:rPr>
        <w:t>ten</w:t>
      </w:r>
      <w:r w:rsidRPr="000860A3">
        <w:rPr>
          <w:rFonts w:ascii="Arial" w:hAnsi="Arial" w:cs="Arial"/>
          <w:sz w:val="22"/>
          <w:szCs w:val="22"/>
          <w:lang w:eastAsia="en-PH"/>
        </w:rPr>
        <w:t xml:space="preserve"> regions </w:t>
      </w:r>
      <w:r w:rsidR="000860A3" w:rsidRPr="000860A3">
        <w:rPr>
          <w:rFonts w:ascii="Arial" w:hAnsi="Arial" w:cs="Arial"/>
          <w:sz w:val="22"/>
          <w:szCs w:val="22"/>
          <w:lang w:eastAsia="en-PH"/>
        </w:rPr>
        <w:t xml:space="preserve">which registered </w:t>
      </w:r>
      <w:r w:rsidRPr="000860A3">
        <w:rPr>
          <w:rFonts w:ascii="Arial" w:hAnsi="Arial" w:cs="Arial"/>
          <w:sz w:val="22"/>
          <w:szCs w:val="22"/>
          <w:lang w:eastAsia="en-PH"/>
        </w:rPr>
        <w:t>unfavorable (negative) trade balance</w:t>
      </w:r>
      <w:r w:rsidR="000860A3" w:rsidRPr="000860A3">
        <w:rPr>
          <w:rFonts w:ascii="Arial" w:hAnsi="Arial" w:cs="Arial"/>
          <w:sz w:val="22"/>
          <w:szCs w:val="22"/>
          <w:lang w:eastAsia="en-PH"/>
        </w:rPr>
        <w:t xml:space="preserve">, </w:t>
      </w:r>
      <w:r w:rsidRPr="000860A3">
        <w:rPr>
          <w:rFonts w:ascii="Arial" w:hAnsi="Arial" w:cs="Arial"/>
          <w:sz w:val="22"/>
          <w:szCs w:val="22"/>
          <w:lang w:eastAsia="en-PH"/>
        </w:rPr>
        <w:t> </w:t>
      </w:r>
      <w:proofErr w:type="spellStart"/>
      <w:r w:rsidRPr="000860A3">
        <w:rPr>
          <w:rFonts w:ascii="Arial" w:hAnsi="Arial" w:cs="Arial"/>
          <w:b/>
          <w:bCs/>
          <w:sz w:val="22"/>
          <w:szCs w:val="22"/>
          <w:lang w:eastAsia="en-PH"/>
        </w:rPr>
        <w:t>Caraga</w:t>
      </w:r>
      <w:proofErr w:type="spellEnd"/>
      <w:r w:rsidRPr="000860A3">
        <w:rPr>
          <w:rFonts w:ascii="Arial" w:hAnsi="Arial" w:cs="Arial"/>
          <w:b/>
          <w:bCs/>
          <w:sz w:val="22"/>
          <w:szCs w:val="22"/>
          <w:lang w:eastAsia="en-PH"/>
        </w:rPr>
        <w:t xml:space="preserve"> Region</w:t>
      </w:r>
      <w:r w:rsidR="00C779CC">
        <w:rPr>
          <w:rFonts w:ascii="Arial" w:hAnsi="Arial" w:cs="Arial"/>
          <w:sz w:val="22"/>
          <w:szCs w:val="22"/>
          <w:lang w:eastAsia="en-PH"/>
        </w:rPr>
        <w:t xml:space="preserve"> with</w:t>
      </w:r>
      <w:r w:rsidR="000860A3" w:rsidRPr="000860A3">
        <w:rPr>
          <w:rFonts w:ascii="Arial" w:hAnsi="Arial" w:cs="Arial"/>
          <w:sz w:val="22"/>
          <w:szCs w:val="22"/>
          <w:lang w:eastAsia="en-PH"/>
        </w:rPr>
        <w:t xml:space="preserve"> PHP24.49 billion; </w:t>
      </w:r>
      <w:r w:rsidRPr="000860A3">
        <w:rPr>
          <w:rFonts w:ascii="Arial" w:hAnsi="Arial" w:cs="Arial"/>
          <w:sz w:val="22"/>
          <w:szCs w:val="22"/>
          <w:lang w:eastAsia="en-PH"/>
        </w:rPr>
        <w:t> </w:t>
      </w:r>
      <w:proofErr w:type="spellStart"/>
      <w:r w:rsidRPr="000860A3">
        <w:rPr>
          <w:rFonts w:ascii="Arial" w:hAnsi="Arial" w:cs="Arial"/>
          <w:b/>
          <w:bCs/>
          <w:sz w:val="22"/>
          <w:szCs w:val="22"/>
          <w:lang w:eastAsia="en-PH"/>
        </w:rPr>
        <w:t>Zamboanga</w:t>
      </w:r>
      <w:proofErr w:type="spellEnd"/>
      <w:r w:rsidRPr="000860A3">
        <w:rPr>
          <w:rFonts w:ascii="Arial" w:hAnsi="Arial" w:cs="Arial"/>
          <w:b/>
          <w:bCs/>
          <w:sz w:val="22"/>
          <w:szCs w:val="22"/>
          <w:lang w:eastAsia="en-PH"/>
        </w:rPr>
        <w:t xml:space="preserve"> Peninsula</w:t>
      </w:r>
      <w:r w:rsidR="00C779CC">
        <w:rPr>
          <w:rFonts w:ascii="Arial" w:hAnsi="Arial" w:cs="Arial"/>
          <w:sz w:val="22"/>
          <w:szCs w:val="22"/>
          <w:lang w:eastAsia="en-PH"/>
        </w:rPr>
        <w:t xml:space="preserve"> with</w:t>
      </w:r>
      <w:r w:rsidR="000860A3" w:rsidRPr="000860A3">
        <w:rPr>
          <w:rFonts w:ascii="Arial" w:hAnsi="Arial" w:cs="Arial"/>
          <w:sz w:val="22"/>
          <w:szCs w:val="22"/>
          <w:lang w:eastAsia="en-PH"/>
        </w:rPr>
        <w:t xml:space="preserve"> PHP6.56 billion; </w:t>
      </w:r>
      <w:r w:rsidRPr="000860A3">
        <w:rPr>
          <w:rFonts w:ascii="Arial" w:hAnsi="Arial" w:cs="Arial"/>
          <w:sz w:val="22"/>
          <w:szCs w:val="22"/>
          <w:lang w:eastAsia="en-PH"/>
        </w:rPr>
        <w:t> </w:t>
      </w:r>
      <w:r w:rsidRPr="000860A3">
        <w:rPr>
          <w:rFonts w:ascii="Arial" w:hAnsi="Arial" w:cs="Arial"/>
          <w:b/>
          <w:bCs/>
          <w:sz w:val="22"/>
          <w:szCs w:val="22"/>
          <w:lang w:eastAsia="en-PH"/>
        </w:rPr>
        <w:t>CALABARZON</w:t>
      </w:r>
      <w:r w:rsidR="00C779CC">
        <w:rPr>
          <w:rFonts w:ascii="Arial" w:hAnsi="Arial" w:cs="Arial"/>
          <w:sz w:val="22"/>
          <w:szCs w:val="22"/>
          <w:lang w:eastAsia="en-PH"/>
        </w:rPr>
        <w:t xml:space="preserve"> with </w:t>
      </w:r>
      <w:r w:rsidRPr="000860A3">
        <w:rPr>
          <w:rFonts w:ascii="Arial" w:hAnsi="Arial" w:cs="Arial"/>
          <w:sz w:val="22"/>
          <w:szCs w:val="22"/>
          <w:lang w:eastAsia="en-PH"/>
        </w:rPr>
        <w:t>PHP4.45 billion;</w:t>
      </w:r>
      <w:r w:rsidR="000860A3" w:rsidRPr="000860A3">
        <w:rPr>
          <w:rFonts w:ascii="Arial" w:hAnsi="Arial" w:cs="Arial"/>
          <w:sz w:val="22"/>
          <w:szCs w:val="22"/>
          <w:lang w:eastAsia="en-PH"/>
        </w:rPr>
        <w:t xml:space="preserve"> </w:t>
      </w:r>
      <w:r w:rsidRPr="000860A3">
        <w:rPr>
          <w:rFonts w:ascii="Arial" w:hAnsi="Arial" w:cs="Arial"/>
          <w:b/>
          <w:bCs/>
          <w:sz w:val="22"/>
          <w:szCs w:val="22"/>
          <w:lang w:eastAsia="en-PH"/>
        </w:rPr>
        <w:t>Davao Region</w:t>
      </w:r>
      <w:r w:rsidR="00C779CC">
        <w:rPr>
          <w:rFonts w:ascii="Arial" w:hAnsi="Arial" w:cs="Arial"/>
          <w:sz w:val="22"/>
          <w:szCs w:val="22"/>
          <w:lang w:eastAsia="en-PH"/>
        </w:rPr>
        <w:t xml:space="preserve"> with</w:t>
      </w:r>
      <w:r w:rsidRPr="000860A3">
        <w:rPr>
          <w:rFonts w:ascii="Arial" w:hAnsi="Arial" w:cs="Arial"/>
          <w:sz w:val="22"/>
          <w:szCs w:val="22"/>
          <w:lang w:eastAsia="en-PH"/>
        </w:rPr>
        <w:t xml:space="preserve"> PHP4.43 billion;</w:t>
      </w:r>
      <w:r w:rsidR="000860A3" w:rsidRPr="000860A3">
        <w:rPr>
          <w:rFonts w:ascii="Arial" w:hAnsi="Arial" w:cs="Arial"/>
          <w:sz w:val="22"/>
          <w:szCs w:val="22"/>
          <w:lang w:eastAsia="en-PH"/>
        </w:rPr>
        <w:t xml:space="preserve"> </w:t>
      </w:r>
      <w:r w:rsidRPr="000860A3">
        <w:rPr>
          <w:rFonts w:ascii="Arial" w:hAnsi="Arial" w:cs="Arial"/>
          <w:b/>
          <w:bCs/>
          <w:sz w:val="22"/>
          <w:szCs w:val="22"/>
          <w:lang w:eastAsia="en-PH"/>
        </w:rPr>
        <w:t>MIMAROPA Region</w:t>
      </w:r>
      <w:r w:rsidR="00C779CC">
        <w:rPr>
          <w:rFonts w:ascii="Arial" w:hAnsi="Arial" w:cs="Arial"/>
          <w:sz w:val="22"/>
          <w:szCs w:val="22"/>
          <w:lang w:eastAsia="en-PH"/>
        </w:rPr>
        <w:t xml:space="preserve"> with </w:t>
      </w:r>
      <w:r w:rsidR="000860A3" w:rsidRPr="000860A3">
        <w:rPr>
          <w:rFonts w:ascii="Arial" w:hAnsi="Arial" w:cs="Arial"/>
          <w:sz w:val="22"/>
          <w:szCs w:val="22"/>
          <w:lang w:eastAsia="en-PH"/>
        </w:rPr>
        <w:t>PHP3.72 billion;</w:t>
      </w:r>
      <w:r w:rsidRPr="000860A3">
        <w:rPr>
          <w:rFonts w:ascii="Arial" w:hAnsi="Arial" w:cs="Arial"/>
          <w:sz w:val="22"/>
          <w:szCs w:val="22"/>
          <w:lang w:eastAsia="en-PH"/>
        </w:rPr>
        <w:t> </w:t>
      </w:r>
      <w:r w:rsidRPr="000860A3">
        <w:rPr>
          <w:rFonts w:ascii="Arial" w:hAnsi="Arial" w:cs="Arial"/>
          <w:b/>
          <w:bCs/>
          <w:sz w:val="22"/>
          <w:szCs w:val="22"/>
          <w:lang w:eastAsia="en-PH"/>
        </w:rPr>
        <w:t xml:space="preserve">Central </w:t>
      </w:r>
      <w:proofErr w:type="spellStart"/>
      <w:r w:rsidRPr="000860A3">
        <w:rPr>
          <w:rFonts w:ascii="Arial" w:hAnsi="Arial" w:cs="Arial"/>
          <w:b/>
          <w:bCs/>
          <w:sz w:val="22"/>
          <w:szCs w:val="22"/>
          <w:lang w:eastAsia="en-PH"/>
        </w:rPr>
        <w:t>Visayas</w:t>
      </w:r>
      <w:proofErr w:type="spellEnd"/>
      <w:r w:rsidR="00C779CC">
        <w:rPr>
          <w:rFonts w:ascii="Arial" w:hAnsi="Arial" w:cs="Arial"/>
          <w:sz w:val="22"/>
          <w:szCs w:val="22"/>
          <w:lang w:eastAsia="en-PH"/>
        </w:rPr>
        <w:t xml:space="preserve"> with </w:t>
      </w:r>
      <w:r w:rsidR="000860A3" w:rsidRPr="000860A3">
        <w:rPr>
          <w:rFonts w:ascii="Arial" w:hAnsi="Arial" w:cs="Arial"/>
          <w:sz w:val="22"/>
          <w:szCs w:val="22"/>
          <w:lang w:eastAsia="en-PH"/>
        </w:rPr>
        <w:t xml:space="preserve">PHP3.35 billion; </w:t>
      </w:r>
      <w:r w:rsidRPr="000860A3">
        <w:rPr>
          <w:rFonts w:ascii="Arial" w:hAnsi="Arial" w:cs="Arial"/>
          <w:sz w:val="22"/>
          <w:szCs w:val="22"/>
          <w:lang w:eastAsia="en-PH"/>
        </w:rPr>
        <w:t> </w:t>
      </w:r>
      <w:r w:rsidRPr="000860A3">
        <w:rPr>
          <w:rFonts w:ascii="Arial" w:hAnsi="Arial" w:cs="Arial"/>
          <w:b/>
          <w:bCs/>
          <w:sz w:val="22"/>
          <w:szCs w:val="22"/>
          <w:lang w:eastAsia="en-PH"/>
        </w:rPr>
        <w:t xml:space="preserve">Western </w:t>
      </w:r>
      <w:proofErr w:type="spellStart"/>
      <w:r w:rsidRPr="000860A3">
        <w:rPr>
          <w:rFonts w:ascii="Arial" w:hAnsi="Arial" w:cs="Arial"/>
          <w:b/>
          <w:bCs/>
          <w:sz w:val="22"/>
          <w:szCs w:val="22"/>
          <w:lang w:eastAsia="en-PH"/>
        </w:rPr>
        <w:t>Visayas</w:t>
      </w:r>
      <w:proofErr w:type="spellEnd"/>
      <w:r w:rsidR="00C779CC">
        <w:rPr>
          <w:rFonts w:ascii="Arial" w:hAnsi="Arial" w:cs="Arial"/>
          <w:b/>
          <w:bCs/>
          <w:sz w:val="22"/>
          <w:szCs w:val="22"/>
          <w:lang w:eastAsia="en-PH"/>
        </w:rPr>
        <w:t xml:space="preserve"> </w:t>
      </w:r>
      <w:r w:rsidR="00C779CC">
        <w:rPr>
          <w:rFonts w:ascii="Arial" w:hAnsi="Arial" w:cs="Arial"/>
          <w:sz w:val="22"/>
          <w:szCs w:val="22"/>
          <w:lang w:eastAsia="en-PH"/>
        </w:rPr>
        <w:t>with</w:t>
      </w:r>
      <w:r w:rsidRPr="000860A3">
        <w:rPr>
          <w:rFonts w:ascii="Arial" w:hAnsi="Arial" w:cs="Arial"/>
          <w:sz w:val="22"/>
          <w:szCs w:val="22"/>
          <w:lang w:eastAsia="en-PH"/>
        </w:rPr>
        <w:t xml:space="preserve"> PHP1.99 billion;</w:t>
      </w:r>
      <w:r w:rsidR="000860A3" w:rsidRPr="000860A3">
        <w:rPr>
          <w:rFonts w:ascii="Arial" w:hAnsi="Arial" w:cs="Arial"/>
          <w:sz w:val="22"/>
          <w:szCs w:val="22"/>
          <w:lang w:eastAsia="en-PH"/>
        </w:rPr>
        <w:t xml:space="preserve"> </w:t>
      </w:r>
      <w:proofErr w:type="spellStart"/>
      <w:r w:rsidRPr="000860A3">
        <w:rPr>
          <w:rFonts w:ascii="Arial" w:hAnsi="Arial" w:cs="Arial"/>
          <w:b/>
          <w:bCs/>
          <w:sz w:val="22"/>
          <w:szCs w:val="22"/>
          <w:lang w:eastAsia="en-PH"/>
        </w:rPr>
        <w:t>Ilocos</w:t>
      </w:r>
      <w:proofErr w:type="spellEnd"/>
      <w:r w:rsidRPr="000860A3">
        <w:rPr>
          <w:rFonts w:ascii="Arial" w:hAnsi="Arial" w:cs="Arial"/>
          <w:b/>
          <w:bCs/>
          <w:sz w:val="22"/>
          <w:szCs w:val="22"/>
          <w:lang w:eastAsia="en-PH"/>
        </w:rPr>
        <w:t xml:space="preserve"> Region</w:t>
      </w:r>
      <w:r w:rsidR="00C779CC">
        <w:rPr>
          <w:rFonts w:ascii="Arial" w:hAnsi="Arial" w:cs="Arial"/>
          <w:sz w:val="22"/>
          <w:szCs w:val="22"/>
          <w:lang w:eastAsia="en-PH"/>
        </w:rPr>
        <w:t xml:space="preserve"> with</w:t>
      </w:r>
      <w:r w:rsidRPr="000860A3">
        <w:rPr>
          <w:rFonts w:ascii="Arial" w:hAnsi="Arial" w:cs="Arial"/>
          <w:sz w:val="22"/>
          <w:szCs w:val="22"/>
          <w:lang w:eastAsia="en-PH"/>
        </w:rPr>
        <w:t xml:space="preserve"> PHP0.90 billion;</w:t>
      </w:r>
      <w:r w:rsidR="000860A3" w:rsidRPr="000860A3">
        <w:rPr>
          <w:rFonts w:ascii="Arial" w:hAnsi="Arial" w:cs="Arial"/>
          <w:sz w:val="22"/>
          <w:szCs w:val="22"/>
          <w:lang w:eastAsia="en-PH"/>
        </w:rPr>
        <w:t xml:space="preserve"> </w:t>
      </w:r>
      <w:r w:rsidRPr="000860A3">
        <w:rPr>
          <w:rFonts w:ascii="Arial" w:hAnsi="Arial" w:cs="Arial"/>
          <w:b/>
          <w:bCs/>
          <w:sz w:val="22"/>
          <w:szCs w:val="22"/>
          <w:lang w:eastAsia="en-PH"/>
        </w:rPr>
        <w:t>Northern Mindanao</w:t>
      </w:r>
      <w:r w:rsidRPr="000860A3">
        <w:rPr>
          <w:rFonts w:ascii="Arial" w:hAnsi="Arial" w:cs="Arial"/>
          <w:sz w:val="22"/>
          <w:szCs w:val="22"/>
          <w:lang w:eastAsia="en-PH"/>
        </w:rPr>
        <w:t xml:space="preserve">, </w:t>
      </w:r>
      <w:r w:rsidR="00C779CC">
        <w:rPr>
          <w:rFonts w:ascii="Arial" w:hAnsi="Arial" w:cs="Arial"/>
          <w:sz w:val="22"/>
          <w:szCs w:val="22"/>
          <w:lang w:eastAsia="en-PH"/>
        </w:rPr>
        <w:t xml:space="preserve">with </w:t>
      </w:r>
      <w:r w:rsidRPr="000860A3">
        <w:rPr>
          <w:rFonts w:ascii="Arial" w:hAnsi="Arial" w:cs="Arial"/>
          <w:sz w:val="22"/>
          <w:szCs w:val="22"/>
          <w:lang w:eastAsia="en-PH"/>
        </w:rPr>
        <w:t>PHP0.86 billion; and</w:t>
      </w:r>
      <w:r w:rsidR="000860A3" w:rsidRPr="000860A3">
        <w:rPr>
          <w:rFonts w:ascii="Arial" w:hAnsi="Arial" w:cs="Arial"/>
          <w:sz w:val="22"/>
          <w:szCs w:val="22"/>
          <w:lang w:eastAsia="en-PH"/>
        </w:rPr>
        <w:t xml:space="preserve"> </w:t>
      </w:r>
      <w:r w:rsidRPr="000860A3">
        <w:rPr>
          <w:rFonts w:ascii="Arial" w:hAnsi="Arial" w:cs="Arial"/>
          <w:b/>
          <w:bCs/>
          <w:sz w:val="22"/>
          <w:szCs w:val="22"/>
          <w:lang w:eastAsia="en-PH"/>
        </w:rPr>
        <w:t>Cagayan Valley</w:t>
      </w:r>
      <w:r w:rsidR="00C779CC">
        <w:rPr>
          <w:rFonts w:ascii="Arial" w:hAnsi="Arial" w:cs="Arial"/>
          <w:sz w:val="22"/>
          <w:szCs w:val="22"/>
          <w:lang w:eastAsia="en-PH"/>
        </w:rPr>
        <w:t>, PHP5.34 million trade balance</w:t>
      </w:r>
      <w:r w:rsidR="00593ED1">
        <w:rPr>
          <w:rFonts w:ascii="Arial" w:hAnsi="Arial" w:cs="Arial"/>
          <w:sz w:val="22"/>
          <w:szCs w:val="22"/>
          <w:lang w:eastAsia="en-PH"/>
        </w:rPr>
        <w:t xml:space="preserve"> (Figure 6)</w:t>
      </w:r>
      <w:r w:rsidR="00C779CC">
        <w:rPr>
          <w:rFonts w:ascii="Arial" w:hAnsi="Arial" w:cs="Arial"/>
          <w:sz w:val="22"/>
          <w:szCs w:val="22"/>
          <w:lang w:eastAsia="en-PH"/>
        </w:rPr>
        <w:t>.</w:t>
      </w:r>
    </w:p>
    <w:p w:rsidR="0030673F" w:rsidRPr="0030673F" w:rsidRDefault="0030673F" w:rsidP="0030673F">
      <w:pPr>
        <w:tabs>
          <w:tab w:val="left" w:pos="6840"/>
        </w:tabs>
        <w:rPr>
          <w:rFonts w:ascii="Arial" w:hAnsi="Arial" w:cs="Arial"/>
          <w:sz w:val="22"/>
          <w:szCs w:val="22"/>
        </w:rPr>
      </w:pPr>
    </w:p>
    <w:p w:rsidR="000B627E" w:rsidRPr="0030673F" w:rsidRDefault="001B04FF" w:rsidP="00333689">
      <w:pPr>
        <w:tabs>
          <w:tab w:val="left" w:pos="6840"/>
        </w:tabs>
        <w:rPr>
          <w:rFonts w:ascii="Arial" w:hAnsi="Arial" w:cs="Arial"/>
          <w:sz w:val="22"/>
          <w:szCs w:val="22"/>
        </w:rPr>
      </w:pPr>
      <w:r w:rsidRPr="001B04FF">
        <w:rPr>
          <w:rFonts w:ascii="Arial" w:hAnsi="Arial" w:cs="Arial"/>
          <w:noProof/>
          <w:sz w:val="22"/>
          <w:szCs w:val="22"/>
        </w:rPr>
        <w:lastRenderedPageBreak/>
        <w:drawing>
          <wp:inline distT="0" distB="0" distL="0" distR="0">
            <wp:extent cx="5732145" cy="3216370"/>
            <wp:effectExtent l="19050" t="0" r="20955" b="308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3689" w:rsidRPr="0030673F" w:rsidRDefault="00333689" w:rsidP="00333689">
      <w:pPr>
        <w:tabs>
          <w:tab w:val="left" w:pos="6840"/>
        </w:tabs>
        <w:rPr>
          <w:rFonts w:ascii="Arial" w:hAnsi="Arial" w:cs="Arial"/>
          <w:sz w:val="22"/>
          <w:szCs w:val="22"/>
        </w:rPr>
      </w:pPr>
    </w:p>
    <w:p w:rsidR="00C50939" w:rsidRDefault="00C50939" w:rsidP="00333689">
      <w:pPr>
        <w:tabs>
          <w:tab w:val="left" w:pos="6840"/>
        </w:tabs>
        <w:rPr>
          <w:rFonts w:ascii="Arial" w:hAnsi="Arial" w:cs="Arial"/>
          <w:sz w:val="22"/>
          <w:szCs w:val="22"/>
        </w:rPr>
      </w:pPr>
    </w:p>
    <w:p w:rsidR="00E47ED2" w:rsidRDefault="00E47ED2" w:rsidP="006D34C0">
      <w:pPr>
        <w:pStyle w:val="NormalWeb"/>
        <w:shd w:val="clear" w:color="auto" w:fill="FFFFFF"/>
        <w:spacing w:before="0" w:beforeAutospacing="0" w:after="0" w:afterAutospacing="0"/>
        <w:jc w:val="both"/>
        <w:rPr>
          <w:rFonts w:ascii="Arial" w:hAnsi="Arial" w:cs="Arial"/>
          <w:b/>
          <w:sz w:val="22"/>
          <w:szCs w:val="22"/>
        </w:rPr>
      </w:pPr>
    </w:p>
    <w:p w:rsidR="00E47ED2" w:rsidRDefault="00E47ED2" w:rsidP="006D34C0">
      <w:pPr>
        <w:pStyle w:val="NormalWeb"/>
        <w:shd w:val="clear" w:color="auto" w:fill="FFFFFF"/>
        <w:spacing w:before="0" w:beforeAutospacing="0" w:after="0" w:afterAutospacing="0"/>
        <w:jc w:val="both"/>
        <w:rPr>
          <w:rFonts w:ascii="Arial" w:hAnsi="Arial" w:cs="Arial"/>
          <w:b/>
          <w:sz w:val="22"/>
          <w:szCs w:val="22"/>
        </w:rPr>
      </w:pPr>
    </w:p>
    <w:p w:rsidR="00216C70" w:rsidRDefault="00216C70" w:rsidP="006D34C0">
      <w:pPr>
        <w:pStyle w:val="NormalWeb"/>
        <w:shd w:val="clear" w:color="auto" w:fill="FFFFFF"/>
        <w:spacing w:before="0" w:beforeAutospacing="0" w:after="0" w:afterAutospacing="0"/>
        <w:jc w:val="both"/>
        <w:rPr>
          <w:rFonts w:ascii="Arial" w:hAnsi="Arial" w:cs="Arial"/>
          <w:b/>
          <w:sz w:val="22"/>
          <w:szCs w:val="22"/>
        </w:rPr>
      </w:pPr>
    </w:p>
    <w:p w:rsidR="00216C70" w:rsidRDefault="00216C70" w:rsidP="006D34C0">
      <w:pPr>
        <w:pStyle w:val="NormalWeb"/>
        <w:shd w:val="clear" w:color="auto" w:fill="FFFFFF"/>
        <w:spacing w:before="0" w:beforeAutospacing="0" w:after="0" w:afterAutospacing="0"/>
        <w:jc w:val="both"/>
        <w:rPr>
          <w:rFonts w:ascii="Arial" w:hAnsi="Arial" w:cs="Arial"/>
          <w:b/>
          <w:sz w:val="22"/>
          <w:szCs w:val="22"/>
        </w:rPr>
      </w:pPr>
    </w:p>
    <w:p w:rsidR="008D28FC" w:rsidRDefault="008D28FC" w:rsidP="006D34C0">
      <w:pPr>
        <w:pStyle w:val="NormalWeb"/>
        <w:shd w:val="clear" w:color="auto" w:fill="FFFFFF"/>
        <w:spacing w:before="0" w:beforeAutospacing="0" w:after="0" w:afterAutospacing="0"/>
        <w:jc w:val="both"/>
        <w:rPr>
          <w:rFonts w:ascii="Arial" w:hAnsi="Arial" w:cs="Arial"/>
          <w:b/>
          <w:sz w:val="22"/>
          <w:szCs w:val="22"/>
        </w:rPr>
      </w:pPr>
    </w:p>
    <w:p w:rsidR="008D28FC" w:rsidRDefault="008D28FC" w:rsidP="006D34C0">
      <w:pPr>
        <w:pStyle w:val="NormalWeb"/>
        <w:shd w:val="clear" w:color="auto" w:fill="FFFFFF"/>
        <w:spacing w:before="0" w:beforeAutospacing="0" w:after="0" w:afterAutospacing="0"/>
        <w:jc w:val="both"/>
        <w:rPr>
          <w:rFonts w:ascii="Arial" w:hAnsi="Arial" w:cs="Arial"/>
          <w:b/>
          <w:sz w:val="22"/>
          <w:szCs w:val="22"/>
        </w:rPr>
      </w:pPr>
    </w:p>
    <w:p w:rsidR="006D34C0" w:rsidRPr="00793ADB" w:rsidRDefault="006D34C0" w:rsidP="006D34C0">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RUBEN D. ABARO, JR.</w:t>
      </w:r>
    </w:p>
    <w:p w:rsidR="006D34C0" w:rsidRPr="00793ADB" w:rsidRDefault="006D34C0" w:rsidP="006D34C0">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Regional Director</w:t>
      </w:r>
    </w:p>
    <w:p w:rsidR="00D50828" w:rsidRDefault="00D50828" w:rsidP="006D34C0">
      <w:pPr>
        <w:spacing w:line="360" w:lineRule="auto"/>
        <w:jc w:val="both"/>
        <w:rPr>
          <w:rFonts w:ascii="Arial" w:hAnsi="Arial" w:cs="Arial"/>
          <w:sz w:val="18"/>
          <w:szCs w:val="22"/>
        </w:rPr>
      </w:pPr>
    </w:p>
    <w:p w:rsidR="00D50828" w:rsidRDefault="00D50828" w:rsidP="006D34C0">
      <w:pPr>
        <w:spacing w:line="360" w:lineRule="auto"/>
        <w:jc w:val="both"/>
        <w:rPr>
          <w:rFonts w:ascii="Arial" w:hAnsi="Arial" w:cs="Arial"/>
          <w:sz w:val="18"/>
          <w:szCs w:val="22"/>
        </w:rPr>
      </w:pPr>
    </w:p>
    <w:p w:rsidR="00D50828" w:rsidRDefault="00D50828" w:rsidP="006D34C0">
      <w:pPr>
        <w:spacing w:line="360" w:lineRule="auto"/>
        <w:jc w:val="both"/>
        <w:rPr>
          <w:rFonts w:ascii="Arial" w:hAnsi="Arial" w:cs="Arial"/>
          <w:sz w:val="18"/>
          <w:szCs w:val="22"/>
        </w:rPr>
      </w:pPr>
    </w:p>
    <w:p w:rsidR="006D34C0" w:rsidRDefault="009A13DD" w:rsidP="006D34C0">
      <w:pPr>
        <w:spacing w:line="360" w:lineRule="auto"/>
        <w:jc w:val="both"/>
        <w:rPr>
          <w:rFonts w:ascii="Arial" w:hAnsi="Arial" w:cs="Arial"/>
          <w:sz w:val="18"/>
          <w:szCs w:val="22"/>
        </w:rPr>
      </w:pPr>
      <w:r w:rsidRPr="009A13DD">
        <w:rPr>
          <w:rFonts w:ascii="Arial" w:hAnsi="Arial" w:cs="Arial"/>
          <w:sz w:val="18"/>
          <w:szCs w:val="22"/>
        </w:rPr>
        <w:t>BMC/MBC</w:t>
      </w:r>
    </w:p>
    <w:p w:rsidR="009A13DD" w:rsidRDefault="009A13DD" w:rsidP="006D34C0">
      <w:pPr>
        <w:spacing w:line="360" w:lineRule="auto"/>
        <w:jc w:val="both"/>
        <w:rPr>
          <w:rFonts w:ascii="Arial" w:hAnsi="Arial" w:cs="Arial"/>
          <w:sz w:val="18"/>
          <w:szCs w:val="22"/>
        </w:rPr>
      </w:pPr>
    </w:p>
    <w:p w:rsidR="008D28FC" w:rsidRDefault="008D28FC" w:rsidP="006D34C0">
      <w:pPr>
        <w:spacing w:line="360" w:lineRule="auto"/>
        <w:jc w:val="both"/>
        <w:rPr>
          <w:rFonts w:ascii="Arial" w:hAnsi="Arial" w:cs="Arial"/>
          <w:sz w:val="22"/>
          <w:szCs w:val="22"/>
        </w:rPr>
      </w:pPr>
    </w:p>
    <w:p w:rsidR="008D28FC" w:rsidRDefault="008D28FC" w:rsidP="006D34C0">
      <w:pPr>
        <w:spacing w:line="360" w:lineRule="auto"/>
        <w:jc w:val="both"/>
        <w:rPr>
          <w:rFonts w:ascii="Arial" w:hAnsi="Arial" w:cs="Arial"/>
          <w:sz w:val="22"/>
          <w:szCs w:val="22"/>
        </w:rPr>
      </w:pPr>
    </w:p>
    <w:p w:rsidR="006D34C0" w:rsidRPr="00793ADB" w:rsidRDefault="006D34C0" w:rsidP="006D34C0">
      <w:pPr>
        <w:spacing w:line="360" w:lineRule="auto"/>
        <w:jc w:val="both"/>
        <w:rPr>
          <w:rFonts w:ascii="Arial" w:hAnsi="Arial" w:cs="Arial"/>
          <w:b/>
          <w:sz w:val="22"/>
          <w:szCs w:val="22"/>
        </w:rPr>
      </w:pPr>
      <w:r w:rsidRPr="00793ADB">
        <w:rPr>
          <w:rFonts w:ascii="Arial" w:hAnsi="Arial" w:cs="Arial"/>
          <w:sz w:val="22"/>
          <w:szCs w:val="22"/>
        </w:rPr>
        <w:t xml:space="preserve">For further inquiries, you may contact: </w:t>
      </w:r>
    </w:p>
    <w:p w:rsidR="006D34C0" w:rsidRPr="00793ADB" w:rsidRDefault="006D34C0" w:rsidP="006D34C0">
      <w:pPr>
        <w:pStyle w:val="NoSpacing"/>
        <w:rPr>
          <w:rFonts w:ascii="Arial" w:hAnsi="Arial" w:cs="Arial"/>
        </w:rPr>
      </w:pPr>
    </w:p>
    <w:p w:rsidR="006D34C0" w:rsidRPr="00793ADB" w:rsidRDefault="006D34C0" w:rsidP="006D34C0">
      <w:pPr>
        <w:pStyle w:val="NoSpacing"/>
        <w:rPr>
          <w:rFonts w:ascii="Arial" w:hAnsi="Arial" w:cs="Arial"/>
          <w:b/>
        </w:rPr>
      </w:pPr>
      <w:r w:rsidRPr="00793ADB">
        <w:rPr>
          <w:rFonts w:ascii="Arial" w:hAnsi="Arial" w:cs="Arial"/>
          <w:b/>
        </w:rPr>
        <w:t xml:space="preserve">Statistical Operations &amp; Coordination Division </w:t>
      </w:r>
    </w:p>
    <w:p w:rsidR="006D34C0" w:rsidRPr="00793ADB" w:rsidRDefault="006D34C0" w:rsidP="006D34C0">
      <w:pPr>
        <w:pStyle w:val="NoSpacing"/>
        <w:rPr>
          <w:rFonts w:ascii="Arial" w:hAnsi="Arial" w:cs="Arial"/>
        </w:rPr>
      </w:pPr>
      <w:r w:rsidRPr="00793ADB">
        <w:rPr>
          <w:rFonts w:ascii="Arial" w:hAnsi="Arial" w:cs="Arial"/>
        </w:rPr>
        <w:t xml:space="preserve">Philippine Statistics Authority Regional Statistical Service Office 10 </w:t>
      </w:r>
    </w:p>
    <w:p w:rsidR="006D34C0" w:rsidRPr="00793ADB" w:rsidRDefault="006D34C0" w:rsidP="006D34C0">
      <w:pPr>
        <w:pStyle w:val="NoSpacing"/>
        <w:rPr>
          <w:rFonts w:ascii="Arial" w:hAnsi="Arial" w:cs="Arial"/>
        </w:rPr>
      </w:pPr>
      <w:r w:rsidRPr="00793ADB">
        <w:rPr>
          <w:rFonts w:ascii="Arial" w:hAnsi="Arial" w:cs="Arial"/>
        </w:rPr>
        <w:t>2nd Floor, Bldg. 4, Pride Rock Business Park</w:t>
      </w:r>
    </w:p>
    <w:p w:rsidR="006D34C0" w:rsidRPr="00793ADB" w:rsidRDefault="006D34C0" w:rsidP="006D34C0">
      <w:pPr>
        <w:pStyle w:val="NoSpacing"/>
        <w:rPr>
          <w:rFonts w:ascii="Arial" w:hAnsi="Arial" w:cs="Arial"/>
        </w:rPr>
      </w:pPr>
      <w:proofErr w:type="spellStart"/>
      <w:r w:rsidRPr="00793ADB">
        <w:rPr>
          <w:rFonts w:ascii="Arial" w:hAnsi="Arial" w:cs="Arial"/>
        </w:rPr>
        <w:t>Gusa</w:t>
      </w:r>
      <w:proofErr w:type="spellEnd"/>
      <w:r w:rsidRPr="00793ADB">
        <w:rPr>
          <w:rFonts w:ascii="Arial" w:hAnsi="Arial" w:cs="Arial"/>
        </w:rPr>
        <w:t xml:space="preserve"> Highway, Cagayan de Oro City </w:t>
      </w:r>
    </w:p>
    <w:p w:rsidR="006D34C0" w:rsidRPr="00793ADB" w:rsidRDefault="006D34C0" w:rsidP="006D34C0">
      <w:pPr>
        <w:pStyle w:val="NoSpacing"/>
        <w:rPr>
          <w:rFonts w:ascii="Arial" w:hAnsi="Arial" w:cs="Arial"/>
        </w:rPr>
      </w:pPr>
    </w:p>
    <w:p w:rsidR="006D34C0" w:rsidRPr="00793ADB" w:rsidRDefault="006D34C0" w:rsidP="006D34C0">
      <w:pPr>
        <w:pStyle w:val="NoSpacing"/>
        <w:rPr>
          <w:rFonts w:ascii="Arial" w:hAnsi="Arial" w:cs="Arial"/>
        </w:rPr>
      </w:pPr>
      <w:r w:rsidRPr="00793ADB">
        <w:rPr>
          <w:rFonts w:ascii="Arial" w:hAnsi="Arial" w:cs="Arial"/>
        </w:rPr>
        <w:t xml:space="preserve">Email: </w:t>
      </w:r>
      <w:hyperlink r:id="rId16" w:history="1">
        <w:r w:rsidRPr="00793ADB">
          <w:rPr>
            <w:rStyle w:val="Hyperlink"/>
            <w:rFonts w:ascii="Arial" w:hAnsi="Arial" w:cs="Arial"/>
          </w:rPr>
          <w:t>psaregion10@gmail.com</w:t>
        </w:r>
      </w:hyperlink>
    </w:p>
    <w:p w:rsidR="00216C70" w:rsidRPr="00D50828" w:rsidRDefault="006D34C0" w:rsidP="00D50828">
      <w:pPr>
        <w:pStyle w:val="NoSpacing"/>
        <w:rPr>
          <w:rFonts w:ascii="Arial" w:hAnsi="Arial" w:cs="Arial"/>
        </w:rPr>
      </w:pPr>
      <w:proofErr w:type="spellStart"/>
      <w:r w:rsidRPr="00793ADB">
        <w:rPr>
          <w:rFonts w:ascii="Arial" w:hAnsi="Arial" w:cs="Arial"/>
        </w:rPr>
        <w:t>Telefax</w:t>
      </w:r>
      <w:proofErr w:type="spellEnd"/>
      <w:r w:rsidRPr="00793ADB">
        <w:rPr>
          <w:rFonts w:ascii="Arial" w:hAnsi="Arial" w:cs="Arial"/>
        </w:rPr>
        <w:t>: (088) 856-4778</w:t>
      </w:r>
    </w:p>
    <w:p w:rsidR="008D28FC" w:rsidRDefault="008D28FC" w:rsidP="008D28FC">
      <w:pPr>
        <w:shd w:val="clear" w:color="auto" w:fill="FFFFFF"/>
        <w:spacing w:before="100" w:beforeAutospacing="1" w:after="96" w:line="360" w:lineRule="atLeast"/>
        <w:outlineLvl w:val="2"/>
        <w:rPr>
          <w:rFonts w:ascii="Arial" w:hAnsi="Arial" w:cs="Arial"/>
          <w:b/>
          <w:bCs/>
          <w:sz w:val="22"/>
          <w:szCs w:val="22"/>
          <w:u w:val="single"/>
          <w:lang w:eastAsia="en-PH"/>
        </w:rPr>
      </w:pPr>
    </w:p>
    <w:p w:rsidR="00C5208B" w:rsidRDefault="00C5208B" w:rsidP="008D28FC">
      <w:pPr>
        <w:shd w:val="clear" w:color="auto" w:fill="FFFFFF"/>
        <w:spacing w:before="100" w:beforeAutospacing="1" w:after="96" w:line="360" w:lineRule="atLeast"/>
        <w:jc w:val="center"/>
        <w:outlineLvl w:val="2"/>
        <w:rPr>
          <w:rFonts w:ascii="Arial" w:hAnsi="Arial" w:cs="Arial"/>
          <w:b/>
          <w:bCs/>
          <w:sz w:val="22"/>
          <w:szCs w:val="22"/>
          <w:u w:val="single"/>
          <w:lang w:eastAsia="en-PH"/>
        </w:rPr>
      </w:pPr>
    </w:p>
    <w:p w:rsidR="006D34C0" w:rsidRPr="006D34C0" w:rsidRDefault="006D34C0" w:rsidP="008D28FC">
      <w:pPr>
        <w:shd w:val="clear" w:color="auto" w:fill="FFFFFF"/>
        <w:spacing w:before="100" w:beforeAutospacing="1" w:after="96" w:line="360" w:lineRule="atLeast"/>
        <w:jc w:val="center"/>
        <w:outlineLvl w:val="2"/>
        <w:rPr>
          <w:rFonts w:ascii="Arial" w:hAnsi="Arial" w:cs="Arial"/>
          <w:b/>
          <w:bCs/>
          <w:sz w:val="22"/>
          <w:szCs w:val="22"/>
          <w:lang w:eastAsia="en-PH"/>
        </w:rPr>
      </w:pPr>
      <w:r w:rsidRPr="006D34C0">
        <w:rPr>
          <w:rFonts w:ascii="Arial" w:hAnsi="Arial" w:cs="Arial"/>
          <w:b/>
          <w:bCs/>
          <w:sz w:val="22"/>
          <w:szCs w:val="22"/>
          <w:u w:val="single"/>
          <w:lang w:eastAsia="en-PH"/>
        </w:rPr>
        <w:lastRenderedPageBreak/>
        <w:t>EXPLANATORY NOTES</w:t>
      </w:r>
    </w:p>
    <w:p w:rsidR="006D34C0" w:rsidRPr="006D34C0" w:rsidRDefault="006D34C0" w:rsidP="006D34C0">
      <w:pPr>
        <w:shd w:val="clear" w:color="auto" w:fill="FFFFFF"/>
        <w:spacing w:before="96" w:after="192" w:line="360" w:lineRule="atLeast"/>
        <w:rPr>
          <w:rFonts w:ascii="Arial" w:hAnsi="Arial" w:cs="Arial"/>
          <w:sz w:val="22"/>
          <w:szCs w:val="22"/>
          <w:lang w:eastAsia="en-PH"/>
        </w:rPr>
      </w:pPr>
      <w:r w:rsidRPr="006D34C0">
        <w:rPr>
          <w:rFonts w:ascii="Arial" w:hAnsi="Arial" w:cs="Arial"/>
          <w:sz w:val="22"/>
          <w:szCs w:val="22"/>
          <w:lang w:eastAsia="en-PH"/>
        </w:rPr>
        <w:t> </w:t>
      </w:r>
    </w:p>
    <w:p w:rsidR="006D34C0" w:rsidRPr="006D34C0" w:rsidRDefault="006D34C0" w:rsidP="006D34C0">
      <w:pPr>
        <w:shd w:val="clear" w:color="auto" w:fill="FFFFFF"/>
        <w:spacing w:before="100" w:beforeAutospacing="1" w:after="96" w:line="360" w:lineRule="atLeast"/>
        <w:outlineLvl w:val="2"/>
        <w:rPr>
          <w:rFonts w:ascii="Arial" w:hAnsi="Arial" w:cs="Arial"/>
          <w:b/>
          <w:bCs/>
          <w:sz w:val="22"/>
          <w:szCs w:val="22"/>
          <w:lang w:eastAsia="en-PH"/>
        </w:rPr>
      </w:pPr>
      <w:r w:rsidRPr="006D34C0">
        <w:rPr>
          <w:rFonts w:ascii="Arial" w:hAnsi="Arial" w:cs="Arial"/>
          <w:b/>
          <w:bCs/>
          <w:sz w:val="22"/>
          <w:szCs w:val="22"/>
          <w:lang w:eastAsia="en-PH"/>
        </w:rPr>
        <w:t>Introduction</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Commodity flow or domestic trade statistics is a compilation of data on commodities carried through air, rail, and water transport systems in the country.</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The Philippine Statistics Authority (PSA) compiles domestic trade statistics from copies of coasting manifests and coastwise passenger manifest collected from the Philippine Ports Authority (PPA) and copies of air waybills from Philippine Airlines (PAL) to generate Commodity Flow or Domestic Trade Statistics. Coasting manifests are collected from major ports and other active seaports listed by the PPA all over the country to account for transactions that went through seaports. </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Data on the inflow and outflow of commodities in the different regions of the country are used to construct inter-regional and inter-industry relation tables.</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All copy of documents are compiled and processed by the Provincial Statistical Offices.  Final data review of the data files, generation of statistical tables, and preparation of Special Releases are done at the Trade Statistics Division (TSD).</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The 1993 Philippine Standard Commodity Classification (PSCC) Revision 2 is used to classify the commodities at the 5-digit level (item) for coastwise statistics and 3-digit level (group) for air statistics for statistical purposes.</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All documents received as of 15 June 2019 were processed and included in the generation of 2019 first quarter statistical tables. Documents received after the set deadline will be included in the final tabulation.</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proofErr w:type="spellStart"/>
      <w:r w:rsidRPr="006D34C0">
        <w:rPr>
          <w:rFonts w:ascii="Arial" w:hAnsi="Arial" w:cs="Arial"/>
          <w:sz w:val="22"/>
          <w:szCs w:val="22"/>
          <w:lang w:eastAsia="en-PH"/>
        </w:rPr>
        <w:t>Datafiles</w:t>
      </w:r>
      <w:proofErr w:type="spellEnd"/>
      <w:r w:rsidRPr="006D34C0">
        <w:rPr>
          <w:rFonts w:ascii="Arial" w:hAnsi="Arial" w:cs="Arial"/>
          <w:sz w:val="22"/>
          <w:szCs w:val="22"/>
          <w:lang w:eastAsia="en-PH"/>
        </w:rPr>
        <w:t xml:space="preserve"> from NCR, </w:t>
      </w:r>
      <w:proofErr w:type="spellStart"/>
      <w:r w:rsidRPr="006D34C0">
        <w:rPr>
          <w:rFonts w:ascii="Arial" w:hAnsi="Arial" w:cs="Arial"/>
          <w:sz w:val="22"/>
          <w:szCs w:val="22"/>
          <w:lang w:eastAsia="en-PH"/>
        </w:rPr>
        <w:t>Batangas</w:t>
      </w:r>
      <w:proofErr w:type="spellEnd"/>
      <w:r w:rsidRPr="006D34C0">
        <w:rPr>
          <w:rFonts w:ascii="Arial" w:hAnsi="Arial" w:cs="Arial"/>
          <w:sz w:val="22"/>
          <w:szCs w:val="22"/>
          <w:lang w:eastAsia="en-PH"/>
        </w:rPr>
        <w:t xml:space="preserve"> and </w:t>
      </w:r>
      <w:proofErr w:type="spellStart"/>
      <w:r w:rsidRPr="006D34C0">
        <w:rPr>
          <w:rFonts w:ascii="Arial" w:hAnsi="Arial" w:cs="Arial"/>
          <w:sz w:val="22"/>
          <w:szCs w:val="22"/>
          <w:lang w:eastAsia="en-PH"/>
        </w:rPr>
        <w:t>Tawi-Tawi</w:t>
      </w:r>
      <w:proofErr w:type="spellEnd"/>
      <w:r w:rsidRPr="006D34C0">
        <w:rPr>
          <w:rFonts w:ascii="Arial" w:hAnsi="Arial" w:cs="Arial"/>
          <w:sz w:val="22"/>
          <w:szCs w:val="22"/>
          <w:lang w:eastAsia="en-PH"/>
        </w:rPr>
        <w:t xml:space="preserve"> with the following details were not received as of 15 June 2019 and thus, are not included in this Special Release:</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 </w:t>
      </w:r>
    </w:p>
    <w:tbl>
      <w:tblPr>
        <w:tblW w:w="10065" w:type="dxa"/>
        <w:jc w:val="center"/>
        <w:tblCellMar>
          <w:left w:w="0" w:type="dxa"/>
          <w:right w:w="0" w:type="dxa"/>
        </w:tblCellMar>
        <w:tblLook w:val="04A0"/>
      </w:tblPr>
      <w:tblGrid>
        <w:gridCol w:w="3394"/>
        <w:gridCol w:w="3377"/>
        <w:gridCol w:w="3294"/>
      </w:tblGrid>
      <w:tr w:rsidR="006D34C0" w:rsidRPr="006D34C0" w:rsidTr="007E2B2E">
        <w:trPr>
          <w:tblHeader/>
          <w:jc w:val="center"/>
        </w:trPr>
        <w:tc>
          <w:tcPr>
            <w:tcW w:w="3060" w:type="dxa"/>
            <w:tcBorders>
              <w:top w:val="single" w:sz="6" w:space="0" w:color="CCCCCC"/>
              <w:left w:val="single" w:sz="6" w:space="0" w:color="CCCCCC"/>
              <w:bottom w:val="single" w:sz="6" w:space="0" w:color="CCCCCC"/>
              <w:right w:val="single" w:sz="6" w:space="0" w:color="CCCCCC"/>
            </w:tcBorders>
            <w:shd w:val="clear" w:color="auto" w:fill="EEEEEE"/>
            <w:tcMar>
              <w:top w:w="75" w:type="dxa"/>
              <w:left w:w="105" w:type="dxa"/>
              <w:bottom w:w="60" w:type="dxa"/>
              <w:right w:w="105" w:type="dxa"/>
            </w:tcMar>
            <w:vAlign w:val="center"/>
            <w:hideMark/>
          </w:tcPr>
          <w:p w:rsidR="006D34C0" w:rsidRPr="006D34C0" w:rsidRDefault="006D34C0" w:rsidP="007E2B2E">
            <w:pPr>
              <w:spacing w:before="96" w:after="192"/>
              <w:jc w:val="center"/>
              <w:rPr>
                <w:rFonts w:ascii="Arial" w:hAnsi="Arial" w:cs="Arial"/>
                <w:b/>
                <w:bCs/>
                <w:sz w:val="22"/>
                <w:szCs w:val="22"/>
                <w:lang w:eastAsia="en-PH"/>
              </w:rPr>
            </w:pPr>
            <w:r w:rsidRPr="006D34C0">
              <w:rPr>
                <w:rFonts w:ascii="Arial" w:hAnsi="Arial" w:cs="Arial"/>
                <w:b/>
                <w:bCs/>
                <w:sz w:val="22"/>
                <w:szCs w:val="22"/>
                <w:lang w:eastAsia="en-PH"/>
              </w:rPr>
              <w:t>Province</w:t>
            </w:r>
          </w:p>
        </w:tc>
        <w:tc>
          <w:tcPr>
            <w:tcW w:w="3045" w:type="dxa"/>
            <w:tcBorders>
              <w:top w:val="single" w:sz="6" w:space="0" w:color="CCCCCC"/>
              <w:left w:val="single" w:sz="6" w:space="0" w:color="CCCCCC"/>
              <w:bottom w:val="single" w:sz="6" w:space="0" w:color="CCCCCC"/>
              <w:right w:val="single" w:sz="6" w:space="0" w:color="CCCCCC"/>
            </w:tcBorders>
            <w:shd w:val="clear" w:color="auto" w:fill="EEEEEE"/>
            <w:tcMar>
              <w:top w:w="75" w:type="dxa"/>
              <w:left w:w="105" w:type="dxa"/>
              <w:bottom w:w="60" w:type="dxa"/>
              <w:right w:w="105" w:type="dxa"/>
            </w:tcMar>
            <w:vAlign w:val="center"/>
            <w:hideMark/>
          </w:tcPr>
          <w:p w:rsidR="006D34C0" w:rsidRPr="006D34C0" w:rsidRDefault="006D34C0" w:rsidP="007E2B2E">
            <w:pPr>
              <w:spacing w:before="96" w:after="192"/>
              <w:jc w:val="center"/>
              <w:rPr>
                <w:rFonts w:ascii="Arial" w:hAnsi="Arial" w:cs="Arial"/>
                <w:b/>
                <w:bCs/>
                <w:sz w:val="22"/>
                <w:szCs w:val="22"/>
                <w:lang w:eastAsia="en-PH"/>
              </w:rPr>
            </w:pPr>
            <w:r w:rsidRPr="006D34C0">
              <w:rPr>
                <w:rFonts w:ascii="Arial" w:hAnsi="Arial" w:cs="Arial"/>
                <w:b/>
                <w:bCs/>
                <w:sz w:val="22"/>
                <w:szCs w:val="22"/>
                <w:lang w:eastAsia="en-PH"/>
              </w:rPr>
              <w:t>Mode of Transport</w:t>
            </w:r>
          </w:p>
        </w:tc>
        <w:tc>
          <w:tcPr>
            <w:tcW w:w="2970" w:type="dxa"/>
            <w:tcBorders>
              <w:top w:val="single" w:sz="6" w:space="0" w:color="CCCCCC"/>
              <w:left w:val="single" w:sz="6" w:space="0" w:color="CCCCCC"/>
              <w:bottom w:val="single" w:sz="6" w:space="0" w:color="CCCCCC"/>
              <w:right w:val="single" w:sz="6" w:space="0" w:color="CCCCCC"/>
            </w:tcBorders>
            <w:shd w:val="clear" w:color="auto" w:fill="EEEEEE"/>
            <w:tcMar>
              <w:top w:w="75" w:type="dxa"/>
              <w:left w:w="105" w:type="dxa"/>
              <w:bottom w:w="60" w:type="dxa"/>
              <w:right w:w="105" w:type="dxa"/>
            </w:tcMar>
            <w:vAlign w:val="center"/>
            <w:hideMark/>
          </w:tcPr>
          <w:p w:rsidR="006D34C0" w:rsidRPr="006D34C0" w:rsidRDefault="006D34C0" w:rsidP="007E2B2E">
            <w:pPr>
              <w:spacing w:before="96" w:after="192"/>
              <w:jc w:val="center"/>
              <w:rPr>
                <w:rFonts w:ascii="Arial" w:hAnsi="Arial" w:cs="Arial"/>
                <w:b/>
                <w:bCs/>
                <w:sz w:val="22"/>
                <w:szCs w:val="22"/>
                <w:lang w:eastAsia="en-PH"/>
              </w:rPr>
            </w:pPr>
            <w:r w:rsidRPr="006D34C0">
              <w:rPr>
                <w:rFonts w:ascii="Arial" w:hAnsi="Arial" w:cs="Arial"/>
                <w:b/>
                <w:bCs/>
                <w:sz w:val="22"/>
                <w:szCs w:val="22"/>
                <w:lang w:eastAsia="en-PH"/>
              </w:rPr>
              <w:t>Month (1st Quarter 2019)</w:t>
            </w:r>
          </w:p>
        </w:tc>
      </w:tr>
      <w:tr w:rsidR="006D34C0" w:rsidRPr="006D34C0" w:rsidTr="007E2B2E">
        <w:trPr>
          <w:jc w:val="center"/>
        </w:trPr>
        <w:tc>
          <w:tcPr>
            <w:tcW w:w="3060"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jc w:val="center"/>
              <w:rPr>
                <w:rFonts w:ascii="Arial" w:hAnsi="Arial" w:cs="Arial"/>
                <w:sz w:val="22"/>
                <w:szCs w:val="22"/>
                <w:lang w:eastAsia="en-PH"/>
              </w:rPr>
            </w:pPr>
            <w:r w:rsidRPr="006D34C0">
              <w:rPr>
                <w:rFonts w:ascii="Arial" w:hAnsi="Arial" w:cs="Arial"/>
                <w:sz w:val="22"/>
                <w:szCs w:val="22"/>
                <w:lang w:eastAsia="en-PH"/>
              </w:rPr>
              <w:t>NCR</w:t>
            </w:r>
          </w:p>
        </w:tc>
        <w:tc>
          <w:tcPr>
            <w:tcW w:w="3045"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spacing w:before="96" w:after="192"/>
              <w:ind w:left="143"/>
              <w:jc w:val="center"/>
              <w:rPr>
                <w:rFonts w:ascii="Arial" w:hAnsi="Arial" w:cs="Arial"/>
                <w:sz w:val="22"/>
                <w:szCs w:val="22"/>
                <w:lang w:eastAsia="en-PH"/>
              </w:rPr>
            </w:pPr>
            <w:r w:rsidRPr="006D34C0">
              <w:rPr>
                <w:rFonts w:ascii="Arial" w:hAnsi="Arial" w:cs="Arial"/>
                <w:sz w:val="22"/>
                <w:szCs w:val="22"/>
                <w:lang w:eastAsia="en-PH"/>
              </w:rPr>
              <w:t>Air</w:t>
            </w:r>
          </w:p>
        </w:tc>
        <w:tc>
          <w:tcPr>
            <w:tcW w:w="2970"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spacing w:before="96" w:after="192"/>
              <w:ind w:left="136"/>
              <w:jc w:val="center"/>
              <w:rPr>
                <w:rFonts w:ascii="Arial" w:hAnsi="Arial" w:cs="Arial"/>
                <w:sz w:val="22"/>
                <w:szCs w:val="22"/>
                <w:lang w:eastAsia="en-PH"/>
              </w:rPr>
            </w:pPr>
            <w:r w:rsidRPr="006D34C0">
              <w:rPr>
                <w:rFonts w:ascii="Arial" w:hAnsi="Arial" w:cs="Arial"/>
                <w:sz w:val="22"/>
                <w:szCs w:val="22"/>
                <w:lang w:eastAsia="en-PH"/>
              </w:rPr>
              <w:t>January - March</w:t>
            </w:r>
          </w:p>
        </w:tc>
      </w:tr>
      <w:tr w:rsidR="006D34C0" w:rsidRPr="006D34C0" w:rsidTr="007E2B2E">
        <w:trPr>
          <w:jc w:val="center"/>
        </w:trPr>
        <w:tc>
          <w:tcPr>
            <w:tcW w:w="3060"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spacing w:before="96" w:after="192"/>
              <w:jc w:val="center"/>
              <w:rPr>
                <w:rFonts w:ascii="Arial" w:hAnsi="Arial" w:cs="Arial"/>
                <w:sz w:val="22"/>
                <w:szCs w:val="22"/>
                <w:lang w:eastAsia="en-PH"/>
              </w:rPr>
            </w:pPr>
            <w:proofErr w:type="spellStart"/>
            <w:r w:rsidRPr="006D34C0">
              <w:rPr>
                <w:rFonts w:ascii="Arial" w:hAnsi="Arial" w:cs="Arial"/>
                <w:sz w:val="22"/>
                <w:szCs w:val="22"/>
                <w:lang w:eastAsia="en-PH"/>
              </w:rPr>
              <w:t>Batangas</w:t>
            </w:r>
            <w:proofErr w:type="spellEnd"/>
          </w:p>
        </w:tc>
        <w:tc>
          <w:tcPr>
            <w:tcW w:w="3045"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jc w:val="center"/>
              <w:rPr>
                <w:rFonts w:ascii="Arial" w:hAnsi="Arial" w:cs="Arial"/>
                <w:sz w:val="22"/>
                <w:szCs w:val="22"/>
                <w:lang w:eastAsia="en-PH"/>
              </w:rPr>
            </w:pPr>
            <w:r w:rsidRPr="006D34C0">
              <w:rPr>
                <w:rFonts w:ascii="Arial" w:hAnsi="Arial" w:cs="Arial"/>
                <w:sz w:val="22"/>
                <w:szCs w:val="22"/>
                <w:lang w:eastAsia="en-PH"/>
              </w:rPr>
              <w:t>Coastwise</w:t>
            </w:r>
          </w:p>
        </w:tc>
        <w:tc>
          <w:tcPr>
            <w:tcW w:w="2970"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jc w:val="center"/>
              <w:rPr>
                <w:rFonts w:ascii="Arial" w:hAnsi="Arial" w:cs="Arial"/>
                <w:sz w:val="22"/>
                <w:szCs w:val="22"/>
                <w:lang w:eastAsia="en-PH"/>
              </w:rPr>
            </w:pPr>
            <w:r w:rsidRPr="006D34C0">
              <w:rPr>
                <w:rFonts w:ascii="Arial" w:hAnsi="Arial" w:cs="Arial"/>
                <w:sz w:val="22"/>
                <w:szCs w:val="22"/>
                <w:lang w:eastAsia="en-PH"/>
              </w:rPr>
              <w:t>January - March</w:t>
            </w:r>
          </w:p>
        </w:tc>
      </w:tr>
      <w:tr w:rsidR="006D34C0" w:rsidRPr="006D34C0" w:rsidTr="007E2B2E">
        <w:trPr>
          <w:jc w:val="center"/>
        </w:trPr>
        <w:tc>
          <w:tcPr>
            <w:tcW w:w="3060"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spacing w:before="96" w:after="192"/>
              <w:jc w:val="center"/>
              <w:rPr>
                <w:rFonts w:ascii="Arial" w:hAnsi="Arial" w:cs="Arial"/>
                <w:sz w:val="22"/>
                <w:szCs w:val="22"/>
                <w:lang w:eastAsia="en-PH"/>
              </w:rPr>
            </w:pPr>
            <w:proofErr w:type="spellStart"/>
            <w:r w:rsidRPr="006D34C0">
              <w:rPr>
                <w:rFonts w:ascii="Arial" w:hAnsi="Arial" w:cs="Arial"/>
                <w:sz w:val="22"/>
                <w:szCs w:val="22"/>
                <w:lang w:eastAsia="en-PH"/>
              </w:rPr>
              <w:t>Tawi-Tawi</w:t>
            </w:r>
            <w:proofErr w:type="spellEnd"/>
          </w:p>
        </w:tc>
        <w:tc>
          <w:tcPr>
            <w:tcW w:w="3045"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jc w:val="center"/>
              <w:rPr>
                <w:rFonts w:ascii="Arial" w:hAnsi="Arial" w:cs="Arial"/>
                <w:sz w:val="22"/>
                <w:szCs w:val="22"/>
                <w:lang w:eastAsia="en-PH"/>
              </w:rPr>
            </w:pPr>
            <w:r w:rsidRPr="006D34C0">
              <w:rPr>
                <w:rFonts w:ascii="Arial" w:hAnsi="Arial" w:cs="Arial"/>
                <w:sz w:val="22"/>
                <w:szCs w:val="22"/>
                <w:lang w:eastAsia="en-PH"/>
              </w:rPr>
              <w:t>Coastwise</w:t>
            </w:r>
          </w:p>
        </w:tc>
        <w:tc>
          <w:tcPr>
            <w:tcW w:w="2970" w:type="dxa"/>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vAlign w:val="center"/>
            <w:hideMark/>
          </w:tcPr>
          <w:p w:rsidR="006D34C0" w:rsidRPr="006D34C0" w:rsidRDefault="006D34C0" w:rsidP="007E2B2E">
            <w:pPr>
              <w:jc w:val="center"/>
              <w:rPr>
                <w:rFonts w:ascii="Arial" w:hAnsi="Arial" w:cs="Arial"/>
                <w:sz w:val="22"/>
                <w:szCs w:val="22"/>
                <w:lang w:eastAsia="en-PH"/>
              </w:rPr>
            </w:pPr>
            <w:r w:rsidRPr="006D34C0">
              <w:rPr>
                <w:rFonts w:ascii="Arial" w:hAnsi="Arial" w:cs="Arial"/>
                <w:sz w:val="22"/>
                <w:szCs w:val="22"/>
                <w:lang w:eastAsia="en-PH"/>
              </w:rPr>
              <w:t>January - March</w:t>
            </w:r>
          </w:p>
        </w:tc>
      </w:tr>
    </w:tbl>
    <w:p w:rsidR="006D34C0" w:rsidRPr="00136BE3" w:rsidRDefault="006D34C0" w:rsidP="00136BE3">
      <w:pPr>
        <w:shd w:val="clear" w:color="auto" w:fill="FFFFFF"/>
        <w:spacing w:before="96" w:after="192" w:line="360" w:lineRule="atLeast"/>
        <w:rPr>
          <w:rFonts w:ascii="Arial" w:hAnsi="Arial" w:cs="Arial"/>
          <w:sz w:val="22"/>
          <w:szCs w:val="22"/>
          <w:lang w:eastAsia="en-PH"/>
        </w:rPr>
      </w:pPr>
      <w:r w:rsidRPr="006D34C0">
        <w:rPr>
          <w:rFonts w:ascii="Arial" w:hAnsi="Arial" w:cs="Arial"/>
          <w:sz w:val="22"/>
          <w:szCs w:val="22"/>
          <w:lang w:eastAsia="en-PH"/>
        </w:rPr>
        <w:lastRenderedPageBreak/>
        <w:t>Detailed data on domestic trade statistics are available at the Trade Statistics Division (TSD) of Economic Sector Statistics Service (ESSS) with telephone number (02) 376-19-75.</w:t>
      </w:r>
    </w:p>
    <w:p w:rsidR="006D34C0" w:rsidRPr="006D34C0" w:rsidRDefault="006D34C0" w:rsidP="006D34C0">
      <w:pPr>
        <w:shd w:val="clear" w:color="auto" w:fill="FFFFFF"/>
        <w:spacing w:before="100" w:beforeAutospacing="1" w:after="96" w:line="360" w:lineRule="atLeast"/>
        <w:outlineLvl w:val="2"/>
        <w:rPr>
          <w:rFonts w:ascii="Arial" w:hAnsi="Arial" w:cs="Arial"/>
          <w:b/>
          <w:bCs/>
          <w:sz w:val="22"/>
          <w:szCs w:val="22"/>
          <w:lang w:eastAsia="en-PH"/>
        </w:rPr>
      </w:pPr>
      <w:r w:rsidRPr="006D34C0">
        <w:rPr>
          <w:rFonts w:ascii="Arial" w:hAnsi="Arial" w:cs="Arial"/>
          <w:b/>
          <w:bCs/>
          <w:sz w:val="22"/>
          <w:szCs w:val="22"/>
          <w:lang w:eastAsia="en-PH"/>
        </w:rPr>
        <w:t>Limitations of Domestic Trade Statistics</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The domestic trade statistics contained in this report pertains to the flow of goods through airports and seaports in the country, whether for government or private use, or for commercial purposes. Domestic trade through land was excluded because of an absence of an approach to data in the archipelagic island of the country. Moreover, data on rail transport are also excluded.</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Air waybills, on the other hand, were collected from the Philippine Airlines accounting for transactions that passes through all airports.</w:t>
      </w:r>
    </w:p>
    <w:p w:rsidR="006D34C0" w:rsidRPr="006D34C0" w:rsidRDefault="006D34C0" w:rsidP="006D34C0">
      <w:pPr>
        <w:shd w:val="clear" w:color="auto" w:fill="FFFFFF"/>
        <w:spacing w:before="96" w:after="192" w:line="360" w:lineRule="atLeast"/>
        <w:jc w:val="both"/>
        <w:rPr>
          <w:rFonts w:ascii="Arial" w:hAnsi="Arial" w:cs="Arial"/>
          <w:sz w:val="22"/>
          <w:szCs w:val="22"/>
          <w:lang w:eastAsia="en-PH"/>
        </w:rPr>
      </w:pPr>
      <w:r w:rsidRPr="006D34C0">
        <w:rPr>
          <w:rFonts w:ascii="Arial" w:hAnsi="Arial" w:cs="Arial"/>
          <w:sz w:val="22"/>
          <w:szCs w:val="22"/>
          <w:lang w:eastAsia="en-PH"/>
        </w:rPr>
        <w:t>Goods and/or commodities that were </w:t>
      </w:r>
      <w:r w:rsidRPr="006D34C0">
        <w:rPr>
          <w:rFonts w:ascii="Arial" w:hAnsi="Arial" w:cs="Arial"/>
          <w:b/>
          <w:bCs/>
          <w:sz w:val="22"/>
          <w:szCs w:val="22"/>
          <w:lang w:eastAsia="en-PH"/>
        </w:rPr>
        <w:t>excluded</w:t>
      </w:r>
      <w:r w:rsidRPr="006D34C0">
        <w:rPr>
          <w:rFonts w:ascii="Arial" w:hAnsi="Arial" w:cs="Arial"/>
          <w:sz w:val="22"/>
          <w:szCs w:val="22"/>
          <w:lang w:eastAsia="en-PH"/>
        </w:rPr>
        <w:t> in the compilation of data are:</w:t>
      </w:r>
    </w:p>
    <w:p w:rsidR="006D34C0" w:rsidRPr="006D34C0" w:rsidRDefault="006D34C0" w:rsidP="006D34C0">
      <w:pPr>
        <w:shd w:val="clear" w:color="auto" w:fill="FFFFFF"/>
        <w:spacing w:before="96" w:after="192" w:line="360" w:lineRule="atLeast"/>
        <w:ind w:left="600"/>
        <w:jc w:val="both"/>
        <w:rPr>
          <w:rFonts w:ascii="Arial" w:hAnsi="Arial" w:cs="Arial"/>
          <w:sz w:val="22"/>
          <w:szCs w:val="22"/>
          <w:lang w:eastAsia="en-PH"/>
        </w:rPr>
      </w:pPr>
      <w:r w:rsidRPr="006D34C0">
        <w:rPr>
          <w:rFonts w:ascii="Arial" w:hAnsi="Arial" w:cs="Arial"/>
          <w:sz w:val="22"/>
          <w:szCs w:val="22"/>
          <w:lang w:eastAsia="en-PH"/>
        </w:rPr>
        <w:t>          a. Goods transported by vessels of the Philippine Navy;</w:t>
      </w:r>
    </w:p>
    <w:p w:rsidR="006D34C0" w:rsidRPr="006D34C0" w:rsidRDefault="006D34C0" w:rsidP="006D34C0">
      <w:pPr>
        <w:shd w:val="clear" w:color="auto" w:fill="FFFFFF"/>
        <w:spacing w:before="96" w:after="192" w:line="360" w:lineRule="atLeast"/>
        <w:ind w:left="600"/>
        <w:jc w:val="both"/>
        <w:rPr>
          <w:rFonts w:ascii="Arial" w:hAnsi="Arial" w:cs="Arial"/>
          <w:sz w:val="22"/>
          <w:szCs w:val="22"/>
          <w:lang w:eastAsia="en-PH"/>
        </w:rPr>
      </w:pPr>
      <w:r w:rsidRPr="006D34C0">
        <w:rPr>
          <w:rFonts w:ascii="Arial" w:hAnsi="Arial" w:cs="Arial"/>
          <w:sz w:val="22"/>
          <w:szCs w:val="22"/>
          <w:lang w:eastAsia="en-PH"/>
        </w:rPr>
        <w:t>          b. Fish and other marine products landed directly from the sea;</w:t>
      </w:r>
    </w:p>
    <w:p w:rsidR="006D34C0" w:rsidRPr="006D34C0" w:rsidRDefault="006D34C0" w:rsidP="006D34C0">
      <w:pPr>
        <w:shd w:val="clear" w:color="auto" w:fill="FFFFFF"/>
        <w:spacing w:before="96" w:after="192" w:line="360" w:lineRule="atLeast"/>
        <w:ind w:left="600"/>
        <w:jc w:val="both"/>
        <w:rPr>
          <w:rFonts w:ascii="Arial" w:hAnsi="Arial" w:cs="Arial"/>
          <w:sz w:val="22"/>
          <w:szCs w:val="22"/>
          <w:lang w:eastAsia="en-PH"/>
        </w:rPr>
      </w:pPr>
      <w:r w:rsidRPr="006D34C0">
        <w:rPr>
          <w:rFonts w:ascii="Arial" w:hAnsi="Arial" w:cs="Arial"/>
          <w:sz w:val="22"/>
          <w:szCs w:val="22"/>
          <w:lang w:eastAsia="en-PH"/>
        </w:rPr>
        <w:t>          c. Service cargoes for consumption of the vessel crew;</w:t>
      </w:r>
    </w:p>
    <w:p w:rsidR="006D34C0" w:rsidRPr="006D34C0" w:rsidRDefault="006D34C0" w:rsidP="006D34C0">
      <w:pPr>
        <w:shd w:val="clear" w:color="auto" w:fill="FFFFFF"/>
        <w:spacing w:before="96" w:after="192" w:line="360" w:lineRule="atLeast"/>
        <w:ind w:left="600"/>
        <w:jc w:val="both"/>
        <w:rPr>
          <w:rFonts w:ascii="Arial" w:hAnsi="Arial" w:cs="Arial"/>
          <w:sz w:val="22"/>
          <w:szCs w:val="22"/>
          <w:lang w:eastAsia="en-PH"/>
        </w:rPr>
      </w:pPr>
      <w:r w:rsidRPr="006D34C0">
        <w:rPr>
          <w:rFonts w:ascii="Arial" w:hAnsi="Arial" w:cs="Arial"/>
          <w:sz w:val="22"/>
          <w:szCs w:val="22"/>
          <w:lang w:eastAsia="en-PH"/>
        </w:rPr>
        <w:t>          d. Cadaver; and</w:t>
      </w:r>
    </w:p>
    <w:p w:rsidR="006D34C0" w:rsidRPr="006D34C0" w:rsidRDefault="006D34C0" w:rsidP="00136BE3">
      <w:pPr>
        <w:shd w:val="clear" w:color="auto" w:fill="FFFFFF"/>
        <w:spacing w:line="360" w:lineRule="atLeast"/>
        <w:ind w:left="1170"/>
        <w:rPr>
          <w:rFonts w:ascii="Arial" w:hAnsi="Arial" w:cs="Arial"/>
          <w:sz w:val="22"/>
          <w:szCs w:val="22"/>
          <w:lang w:eastAsia="en-PH"/>
        </w:rPr>
      </w:pPr>
      <w:r w:rsidRPr="006D34C0">
        <w:rPr>
          <w:rFonts w:ascii="Arial" w:hAnsi="Arial" w:cs="Arial"/>
          <w:sz w:val="22"/>
          <w:szCs w:val="22"/>
          <w:lang w:eastAsia="en-PH"/>
        </w:rPr>
        <w:t>e. Vessels not carrying any cargo / passenger, wherein the vessel master indicates "NIL CARGO</w:t>
      </w:r>
      <w:r w:rsidR="00136BE3">
        <w:rPr>
          <w:rFonts w:ascii="Arial" w:hAnsi="Arial" w:cs="Arial"/>
          <w:sz w:val="22"/>
          <w:szCs w:val="22"/>
          <w:lang w:eastAsia="en-PH"/>
        </w:rPr>
        <w:t xml:space="preserve"> / PASSENGER" in the coasting/</w:t>
      </w:r>
      <w:r w:rsidRPr="006D34C0">
        <w:rPr>
          <w:rFonts w:ascii="Arial" w:hAnsi="Arial" w:cs="Arial"/>
          <w:sz w:val="22"/>
          <w:szCs w:val="22"/>
          <w:lang w:eastAsia="en-PH"/>
        </w:rPr>
        <w:t>passenger manifests.</w:t>
      </w:r>
    </w:p>
    <w:p w:rsidR="006D34C0" w:rsidRPr="006D34C0" w:rsidRDefault="006D34C0" w:rsidP="006D34C0">
      <w:pPr>
        <w:shd w:val="clear" w:color="auto" w:fill="FFFFFF"/>
        <w:spacing w:after="150" w:line="360" w:lineRule="atLeast"/>
        <w:jc w:val="both"/>
        <w:rPr>
          <w:rFonts w:ascii="Arial" w:hAnsi="Arial" w:cs="Arial"/>
          <w:sz w:val="22"/>
          <w:szCs w:val="22"/>
          <w:lang w:eastAsia="en-PH"/>
        </w:rPr>
      </w:pPr>
      <w:r w:rsidRPr="006D34C0">
        <w:rPr>
          <w:rFonts w:ascii="Arial" w:hAnsi="Arial" w:cs="Arial"/>
          <w:sz w:val="22"/>
          <w:szCs w:val="22"/>
          <w:lang w:eastAsia="en-PH"/>
        </w:rPr>
        <w:t> </w:t>
      </w:r>
    </w:p>
    <w:p w:rsidR="006D34C0" w:rsidRPr="006D34C0" w:rsidRDefault="006D34C0" w:rsidP="006D34C0">
      <w:pPr>
        <w:rPr>
          <w:rFonts w:ascii="Arial" w:hAnsi="Arial" w:cs="Arial"/>
          <w:sz w:val="22"/>
          <w:szCs w:val="22"/>
        </w:rPr>
      </w:pPr>
    </w:p>
    <w:p w:rsidR="00D9198D" w:rsidRPr="00332C16" w:rsidRDefault="00D9198D" w:rsidP="0030673F">
      <w:pPr>
        <w:tabs>
          <w:tab w:val="left" w:pos="6840"/>
        </w:tabs>
        <w:rPr>
          <w:rFonts w:ascii="Arial" w:hAnsi="Arial" w:cs="Arial"/>
          <w:sz w:val="22"/>
          <w:szCs w:val="22"/>
        </w:rPr>
      </w:pPr>
    </w:p>
    <w:sectPr w:rsidR="00D9198D" w:rsidRPr="00332C16" w:rsidSect="003D138D">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5D" w:rsidRDefault="0076345D" w:rsidP="00BC06A6">
      <w:r>
        <w:separator/>
      </w:r>
    </w:p>
  </w:endnote>
  <w:endnote w:type="continuationSeparator" w:id="1">
    <w:p w:rsidR="0076345D" w:rsidRDefault="0076345D" w:rsidP="00BC0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jan Pro">
    <w:panose1 w:val="02020502050506020301"/>
    <w:charset w:val="00"/>
    <w:family w:val="roman"/>
    <w:notTrueType/>
    <w:pitch w:val="variable"/>
    <w:sig w:usb0="800000AF" w:usb1="5000204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67" w:rsidRDefault="00C73367">
    <w:pPr>
      <w:pStyle w:val="Footer"/>
      <w:jc w:val="right"/>
    </w:pPr>
    <w:r>
      <w:t xml:space="preserve">Page </w:t>
    </w:r>
    <w:r w:rsidR="00667381">
      <w:rPr>
        <w:b/>
        <w:bCs/>
        <w:sz w:val="24"/>
        <w:szCs w:val="24"/>
      </w:rPr>
      <w:fldChar w:fldCharType="begin"/>
    </w:r>
    <w:r>
      <w:rPr>
        <w:b/>
        <w:bCs/>
      </w:rPr>
      <w:instrText xml:space="preserve"> PAGE </w:instrText>
    </w:r>
    <w:r w:rsidR="00667381">
      <w:rPr>
        <w:b/>
        <w:bCs/>
        <w:sz w:val="24"/>
        <w:szCs w:val="24"/>
      </w:rPr>
      <w:fldChar w:fldCharType="separate"/>
    </w:r>
    <w:r w:rsidR="003D138D">
      <w:rPr>
        <w:b/>
        <w:bCs/>
        <w:noProof/>
      </w:rPr>
      <w:t>2</w:t>
    </w:r>
    <w:r w:rsidR="00667381">
      <w:rPr>
        <w:b/>
        <w:bCs/>
        <w:sz w:val="24"/>
        <w:szCs w:val="24"/>
      </w:rPr>
      <w:fldChar w:fldCharType="end"/>
    </w:r>
    <w:r>
      <w:t xml:space="preserve"> of </w:t>
    </w:r>
    <w:r w:rsidR="00667381">
      <w:rPr>
        <w:b/>
        <w:bCs/>
        <w:sz w:val="24"/>
        <w:szCs w:val="24"/>
      </w:rPr>
      <w:fldChar w:fldCharType="begin"/>
    </w:r>
    <w:r>
      <w:rPr>
        <w:b/>
        <w:bCs/>
      </w:rPr>
      <w:instrText xml:space="preserve"> NUMPAGES  </w:instrText>
    </w:r>
    <w:r w:rsidR="00667381">
      <w:rPr>
        <w:b/>
        <w:bCs/>
        <w:sz w:val="24"/>
        <w:szCs w:val="24"/>
      </w:rPr>
      <w:fldChar w:fldCharType="separate"/>
    </w:r>
    <w:r w:rsidR="004E3089">
      <w:rPr>
        <w:b/>
        <w:bCs/>
        <w:noProof/>
      </w:rPr>
      <w:t>8</w:t>
    </w:r>
    <w:r w:rsidR="00667381">
      <w:rPr>
        <w:b/>
        <w:bCs/>
        <w:sz w:val="24"/>
        <w:szCs w:val="24"/>
      </w:rPr>
      <w:fldChar w:fldCharType="end"/>
    </w:r>
  </w:p>
  <w:p w:rsidR="00C73367" w:rsidRDefault="00C73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8D" w:rsidRDefault="003D138D" w:rsidP="003D138D">
    <w:pPr>
      <w:pStyle w:val="Footer"/>
      <w:jc w:val="right"/>
    </w:pPr>
    <w:r>
      <w:t xml:space="preserve">Page </w:t>
    </w:r>
    <w:r w:rsidR="00667381">
      <w:rPr>
        <w:b/>
        <w:bCs/>
      </w:rPr>
      <w:fldChar w:fldCharType="begin"/>
    </w:r>
    <w:r>
      <w:rPr>
        <w:b/>
        <w:bCs/>
      </w:rPr>
      <w:instrText xml:space="preserve"> PAGE  \* Arabic  \* MERGEFORMAT </w:instrText>
    </w:r>
    <w:r w:rsidR="00667381">
      <w:rPr>
        <w:b/>
        <w:bCs/>
      </w:rPr>
      <w:fldChar w:fldCharType="separate"/>
    </w:r>
    <w:r w:rsidR="000A6E10">
      <w:rPr>
        <w:b/>
        <w:bCs/>
        <w:noProof/>
      </w:rPr>
      <w:t>2</w:t>
    </w:r>
    <w:r w:rsidR="00667381">
      <w:rPr>
        <w:b/>
        <w:bCs/>
      </w:rPr>
      <w:fldChar w:fldCharType="end"/>
    </w:r>
    <w:r>
      <w:t xml:space="preserve"> of </w:t>
    </w:r>
    <w:fldSimple w:instr=" NUMPAGES  \* Arabic  \* MERGEFORMAT ">
      <w:r w:rsidR="000A6E10" w:rsidRPr="000A6E10">
        <w:rPr>
          <w:b/>
          <w:bCs/>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05" w:rsidRDefault="003F5861" w:rsidP="004E4E06">
    <w:pPr>
      <w:pStyle w:val="Footer"/>
      <w:ind w:firstLine="3600"/>
      <w:rPr>
        <w:rFonts w:ascii="Arial" w:hAnsi="Arial" w:cs="Arial"/>
        <w:sz w:val="18"/>
      </w:rPr>
    </w:pPr>
    <w:r>
      <w:rPr>
        <w:noProof/>
        <w:lang w:val="en-US"/>
      </w:rPr>
      <w:drawing>
        <wp:anchor distT="0" distB="0" distL="114300" distR="114300" simplePos="0" relativeHeight="251659264" behindDoc="0" locked="0" layoutInCell="1" allowOverlap="1">
          <wp:simplePos x="0" y="0"/>
          <wp:positionH relativeFrom="page">
            <wp:posOffset>925195</wp:posOffset>
          </wp:positionH>
          <wp:positionV relativeFrom="page">
            <wp:posOffset>9841230</wp:posOffset>
          </wp:positionV>
          <wp:extent cx="1542415" cy="568960"/>
          <wp:effectExtent l="19050" t="0" r="63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42415" cy="568960"/>
                  </a:xfrm>
                  <a:prstGeom prst="rect">
                    <a:avLst/>
                  </a:prstGeom>
                  <a:noFill/>
                  <a:ln w="9525">
                    <a:noFill/>
                    <a:miter lim="800000"/>
                    <a:headEnd/>
                    <a:tailEnd/>
                  </a:ln>
                </pic:spPr>
              </pic:pic>
            </a:graphicData>
          </a:graphic>
        </wp:anchor>
      </w:drawing>
    </w:r>
  </w:p>
  <w:p w:rsidR="00311D66" w:rsidRPr="007578DC" w:rsidRDefault="007425B1" w:rsidP="007425B1">
    <w:pPr>
      <w:pStyle w:val="Footer"/>
      <w:tabs>
        <w:tab w:val="clear" w:pos="4680"/>
        <w:tab w:val="center" w:pos="4050"/>
      </w:tabs>
      <w:rPr>
        <w:rFonts w:ascii="Arial" w:hAnsi="Arial" w:cs="Arial"/>
        <w:sz w:val="18"/>
        <w:szCs w:val="18"/>
      </w:rPr>
    </w:pPr>
    <w:r>
      <w:rPr>
        <w:rFonts w:ascii="Arial" w:hAnsi="Arial" w:cs="Arial"/>
        <w:sz w:val="18"/>
      </w:rPr>
      <w:t xml:space="preserve">                                                    </w:t>
    </w:r>
    <w:r>
      <w:rPr>
        <w:rFonts w:ascii="Arial" w:hAnsi="Arial" w:cs="Arial"/>
        <w:sz w:val="18"/>
      </w:rPr>
      <w:tab/>
    </w:r>
    <w:r w:rsidR="00B26CFA" w:rsidRPr="007578DC">
      <w:rPr>
        <w:rFonts w:ascii="Arial" w:hAnsi="Arial" w:cs="Arial"/>
        <w:sz w:val="18"/>
        <w:szCs w:val="18"/>
      </w:rPr>
      <w:t xml:space="preserve">B1-B4 Pride Rock Business Park, </w:t>
    </w:r>
    <w:proofErr w:type="spellStart"/>
    <w:r w:rsidRPr="007578DC">
      <w:rPr>
        <w:rFonts w:ascii="Arial" w:hAnsi="Arial" w:cs="Arial"/>
        <w:sz w:val="18"/>
        <w:szCs w:val="18"/>
      </w:rPr>
      <w:t>G</w:t>
    </w:r>
    <w:r w:rsidR="00B26CFA" w:rsidRPr="007578DC">
      <w:rPr>
        <w:rFonts w:ascii="Arial" w:hAnsi="Arial" w:cs="Arial"/>
        <w:sz w:val="18"/>
        <w:szCs w:val="18"/>
      </w:rPr>
      <w:t>usa</w:t>
    </w:r>
    <w:proofErr w:type="spellEnd"/>
    <w:r w:rsidR="00B26CFA" w:rsidRPr="007578DC">
      <w:rPr>
        <w:rFonts w:ascii="Arial" w:hAnsi="Arial" w:cs="Arial"/>
        <w:sz w:val="18"/>
        <w:szCs w:val="18"/>
      </w:rPr>
      <w:t>, Cagayan de Oro City</w:t>
    </w:r>
  </w:p>
  <w:p w:rsidR="00311D66" w:rsidRPr="007578DC" w:rsidRDefault="007425B1" w:rsidP="007425B1">
    <w:pPr>
      <w:pStyle w:val="Footer"/>
      <w:rPr>
        <w:rFonts w:ascii="Arial" w:hAnsi="Arial" w:cs="Arial"/>
        <w:sz w:val="18"/>
        <w:szCs w:val="18"/>
      </w:rPr>
    </w:pPr>
    <w:r w:rsidRPr="007578DC">
      <w:rPr>
        <w:rFonts w:ascii="Arial" w:hAnsi="Arial" w:cs="Arial"/>
        <w:sz w:val="18"/>
        <w:szCs w:val="18"/>
      </w:rPr>
      <w:t xml:space="preserve">                                                    </w:t>
    </w:r>
    <w:proofErr w:type="spellStart"/>
    <w:r w:rsidR="00B26CFA" w:rsidRPr="007578DC">
      <w:rPr>
        <w:rFonts w:ascii="Arial" w:hAnsi="Arial" w:cs="Arial"/>
        <w:sz w:val="18"/>
        <w:szCs w:val="18"/>
      </w:rPr>
      <w:t>Telefax</w:t>
    </w:r>
    <w:proofErr w:type="spellEnd"/>
    <w:r w:rsidR="00311D66" w:rsidRPr="007578DC">
      <w:rPr>
        <w:rFonts w:ascii="Arial" w:hAnsi="Arial" w:cs="Arial"/>
        <w:sz w:val="18"/>
        <w:szCs w:val="18"/>
      </w:rPr>
      <w:t>: (</w:t>
    </w:r>
    <w:r w:rsidR="00B26CFA" w:rsidRPr="007578DC">
      <w:rPr>
        <w:rFonts w:ascii="Arial" w:hAnsi="Arial" w:cs="Arial"/>
        <w:sz w:val="18"/>
        <w:szCs w:val="18"/>
      </w:rPr>
      <w:t>(088)856-4778; (088)856-2679</w:t>
    </w:r>
  </w:p>
  <w:p w:rsidR="00311D66" w:rsidRPr="007578DC" w:rsidRDefault="00375132" w:rsidP="007425B1">
    <w:pPr>
      <w:pStyle w:val="Footer"/>
      <w:rPr>
        <w:rFonts w:ascii="Arial" w:hAnsi="Arial" w:cs="Arial"/>
        <w:sz w:val="18"/>
        <w:szCs w:val="18"/>
      </w:rPr>
    </w:pPr>
    <w:r>
      <w:rPr>
        <w:sz w:val="18"/>
        <w:szCs w:val="18"/>
      </w:rPr>
      <w:t xml:space="preserve">                       </w:t>
    </w:r>
    <w:r w:rsidR="007425B1" w:rsidRPr="007578DC">
      <w:rPr>
        <w:sz w:val="18"/>
        <w:szCs w:val="18"/>
      </w:rPr>
      <w:t xml:space="preserve">                                          </w:t>
    </w:r>
    <w:r w:rsidR="00B26CFA" w:rsidRPr="007578DC">
      <w:rPr>
        <w:rStyle w:val="Hyperlink"/>
        <w:rFonts w:ascii="Arial" w:hAnsi="Arial" w:cs="Arial"/>
        <w:color w:val="auto"/>
        <w:sz w:val="18"/>
        <w:szCs w:val="18"/>
        <w:u w:val="none"/>
      </w:rPr>
      <w:t>http://rsso10.psa.gov.ph</w:t>
    </w:r>
    <w:r w:rsidR="00B26CFA" w:rsidRPr="007578DC">
      <w:rPr>
        <w:rFonts w:ascii="Arial" w:hAnsi="Arial" w:cs="Arial"/>
        <w:sz w:val="18"/>
        <w:szCs w:val="18"/>
      </w:rPr>
      <w:t xml:space="preserve">     psaregion10@gmail.com</w:t>
    </w:r>
  </w:p>
  <w:p w:rsidR="003D0398" w:rsidRPr="00311D66" w:rsidRDefault="00375132" w:rsidP="00311D66">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5D" w:rsidRDefault="0076345D" w:rsidP="00BC06A6">
      <w:r>
        <w:separator/>
      </w:r>
    </w:p>
  </w:footnote>
  <w:footnote w:type="continuationSeparator" w:id="1">
    <w:p w:rsidR="0076345D" w:rsidRDefault="0076345D" w:rsidP="00BC0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66" w:rsidRPr="00C73367" w:rsidRDefault="00311D66">
    <w:pPr>
      <w:pStyle w:val="Header"/>
      <w:rPr>
        <w:sz w:val="20"/>
      </w:rPr>
    </w:pPr>
  </w:p>
  <w:p w:rsidR="00311D66" w:rsidRDefault="00311D66">
    <w:pPr>
      <w:pStyle w:val="Header"/>
      <w:rPr>
        <w:sz w:val="20"/>
      </w:rPr>
    </w:pPr>
  </w:p>
  <w:p w:rsidR="00C73367" w:rsidRPr="00C73367" w:rsidRDefault="00C73367">
    <w:pPr>
      <w:pStyle w:val="Header"/>
      <w:rPr>
        <w:sz w:val="20"/>
      </w:rPr>
    </w:pPr>
  </w:p>
  <w:p w:rsidR="00311D66" w:rsidRPr="00C73367" w:rsidRDefault="00311D66">
    <w:pPr>
      <w:pStyle w:val="Header"/>
      <w:rPr>
        <w:rFonts w:ascii="Arial" w:hAnsi="Arial" w:cs="Arial"/>
        <w:sz w:val="20"/>
      </w:rPr>
    </w:pPr>
    <w:r w:rsidRPr="00C73367">
      <w:rPr>
        <w:rFonts w:ascii="Arial" w:hAnsi="Arial" w:cs="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A6" w:rsidRDefault="00BC06A6" w:rsidP="00BC06A6">
    <w:pPr>
      <w:pStyle w:val="Header"/>
    </w:pPr>
  </w:p>
  <w:p w:rsidR="00BC06A6" w:rsidRDefault="00BC06A6" w:rsidP="00BC06A6">
    <w:pPr>
      <w:pStyle w:val="Header"/>
    </w:pPr>
  </w:p>
  <w:p w:rsidR="00BC06A6" w:rsidRDefault="00BC06A6" w:rsidP="00BC06A6">
    <w:pPr>
      <w:pStyle w:val="Header"/>
    </w:pPr>
  </w:p>
  <w:p w:rsidR="00BC06A6" w:rsidRDefault="00BC06A6" w:rsidP="00BC06A6">
    <w:pPr>
      <w:pStyle w:val="Header"/>
    </w:pPr>
  </w:p>
  <w:p w:rsidR="00BC06A6" w:rsidRDefault="00BC0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96" w:rsidRDefault="00667381">
    <w:pPr>
      <w:pStyle w:val="Header"/>
    </w:pPr>
    <w:r>
      <w:rPr>
        <w:noProof/>
        <w:lang w:val="en-US"/>
      </w:rPr>
      <w:pict>
        <v:shapetype id="_x0000_t202" coordsize="21600,21600" o:spt="202" path="m,l,21600r21600,l21600,xe">
          <v:stroke joinstyle="miter"/>
          <v:path gradientshapeok="t" o:connecttype="rect"/>
        </v:shapetype>
        <v:shape id="Text Box 2" o:spid="_x0000_s4098" type="#_x0000_t202" style="position:absolute;margin-left:55.5pt;margin-top:34.5pt;width:422.7pt;height:56.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X5IgIAAB0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" stroked="f">
          <v:textbox>
            <w:txbxContent>
              <w:p w:rsidR="00985796" w:rsidRPr="00934734" w:rsidRDefault="00985796" w:rsidP="00985796">
                <w:pPr>
                  <w:pStyle w:val="Header"/>
                  <w:rPr>
                    <w:rFonts w:ascii="Trajan Pro" w:hAnsi="Trajan Pro"/>
                    <w:sz w:val="20"/>
                  </w:rPr>
                </w:pPr>
                <w:r w:rsidRPr="00934734">
                  <w:rPr>
                    <w:rFonts w:ascii="Trajan Pro" w:hAnsi="Trajan Pro"/>
                    <w:sz w:val="20"/>
                  </w:rPr>
                  <w:t>Republic of the Philippines</w:t>
                </w:r>
              </w:p>
              <w:p w:rsidR="00985796" w:rsidRDefault="00985796" w:rsidP="00985796">
                <w:pPr>
                  <w:pStyle w:val="Header"/>
                  <w:rPr>
                    <w:rFonts w:ascii="Trajan Pro" w:hAnsi="Trajan Pro"/>
                    <w:sz w:val="32"/>
                  </w:rPr>
                </w:pPr>
                <w:r w:rsidRPr="00A938B0">
                  <w:rPr>
                    <w:rFonts w:ascii="Trajan Pro" w:hAnsi="Trajan Pro"/>
                    <w:sz w:val="32"/>
                  </w:rPr>
                  <w:t>Philippine Statistics Authority</w:t>
                </w:r>
              </w:p>
              <w:p w:rsidR="00985796" w:rsidRPr="004115A0" w:rsidRDefault="00B26CFA" w:rsidP="00985796">
                <w:pPr>
                  <w:pStyle w:val="Header"/>
                  <w:rPr>
                    <w:rFonts w:ascii="Trajan Pro" w:hAnsi="Trajan Pro"/>
                    <w:color w:val="000000"/>
                    <w:sz w:val="28"/>
                    <w:szCs w:val="32"/>
                  </w:rPr>
                </w:pPr>
                <w:r w:rsidRPr="004115A0">
                  <w:rPr>
                    <w:rFonts w:ascii="Trajan Pro" w:hAnsi="Trajan Pro"/>
                    <w:color w:val="000000"/>
                    <w:sz w:val="28"/>
                    <w:szCs w:val="32"/>
                  </w:rPr>
                  <w:t>Region X – Northern Mindanao</w:t>
                </w:r>
              </w:p>
            </w:txbxContent>
          </v:textbox>
        </v:shape>
      </w:pict>
    </w:r>
    <w:r>
      <w:rPr>
        <w:noProof/>
        <w:lang w:val="en-US"/>
      </w:rPr>
      <w:pict>
        <v:line id="Straight Connector 4" o:spid="_x0000_s4097" style="position:absolute;z-index:251657216;visibility:visible;mso-width-relative:margin;mso-height-relative:margin" from="63.2pt,68.5pt" to="352.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" strokeweight="1pt">
          <v:stroke joinstyle="miter"/>
        </v:line>
      </w:pict>
    </w:r>
    <w:r w:rsidR="003F5861">
      <w:rPr>
        <w:noProof/>
        <w:lang w:val="en-US"/>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285750</wp:posOffset>
          </wp:positionV>
          <wp:extent cx="914400" cy="9144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A57"/>
    <w:multiLevelType w:val="hybridMultilevel"/>
    <w:tmpl w:val="37E834E2"/>
    <w:lvl w:ilvl="0" w:tplc="E360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738FB"/>
    <w:multiLevelType w:val="hybridMultilevel"/>
    <w:tmpl w:val="DEEA58A8"/>
    <w:lvl w:ilvl="0" w:tplc="CAA6B58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096B0957"/>
    <w:multiLevelType w:val="hybridMultilevel"/>
    <w:tmpl w:val="19DA38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61E3F72"/>
    <w:multiLevelType w:val="hybridMultilevel"/>
    <w:tmpl w:val="8B74559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nsid w:val="269A2952"/>
    <w:multiLevelType w:val="hybridMultilevel"/>
    <w:tmpl w:val="0B3C6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15E85"/>
    <w:multiLevelType w:val="hybridMultilevel"/>
    <w:tmpl w:val="B928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65546"/>
    <w:multiLevelType w:val="hybridMultilevel"/>
    <w:tmpl w:val="4C305C82"/>
    <w:lvl w:ilvl="0" w:tplc="0464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300031D1"/>
    <w:multiLevelType w:val="hybridMultilevel"/>
    <w:tmpl w:val="688AFF0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nsid w:val="3BB67348"/>
    <w:multiLevelType w:val="hybridMultilevel"/>
    <w:tmpl w:val="9A8EE59E"/>
    <w:lvl w:ilvl="0" w:tplc="0AA26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E54D2"/>
    <w:multiLevelType w:val="hybridMultilevel"/>
    <w:tmpl w:val="720A54C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nsid w:val="3D8849E6"/>
    <w:multiLevelType w:val="hybridMultilevel"/>
    <w:tmpl w:val="89F4001A"/>
    <w:lvl w:ilvl="0" w:tplc="5D1C9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8F454E"/>
    <w:multiLevelType w:val="hybridMultilevel"/>
    <w:tmpl w:val="E7B2205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nsid w:val="50633B1B"/>
    <w:multiLevelType w:val="hybridMultilevel"/>
    <w:tmpl w:val="688AFF0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nsid w:val="54575FA0"/>
    <w:multiLevelType w:val="hybridMultilevel"/>
    <w:tmpl w:val="ACB4E3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587673CF"/>
    <w:multiLevelType w:val="hybridMultilevel"/>
    <w:tmpl w:val="632CF1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5C1E43E0"/>
    <w:multiLevelType w:val="hybridMultilevel"/>
    <w:tmpl w:val="DD8267CE"/>
    <w:lvl w:ilvl="0" w:tplc="B8368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2042D6"/>
    <w:multiLevelType w:val="hybridMultilevel"/>
    <w:tmpl w:val="0CBE58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64E32B8D"/>
    <w:multiLevelType w:val="hybridMultilevel"/>
    <w:tmpl w:val="0BEA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852C04"/>
    <w:multiLevelType w:val="hybridMultilevel"/>
    <w:tmpl w:val="9E3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E64DD"/>
    <w:multiLevelType w:val="hybridMultilevel"/>
    <w:tmpl w:val="8DEC3B06"/>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F912E42"/>
    <w:multiLevelType w:val="hybridMultilevel"/>
    <w:tmpl w:val="9092C3B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9"/>
  </w:num>
  <w:num w:numId="4">
    <w:abstractNumId w:val="12"/>
  </w:num>
  <w:num w:numId="5">
    <w:abstractNumId w:val="16"/>
  </w:num>
  <w:num w:numId="6">
    <w:abstractNumId w:val="0"/>
  </w:num>
  <w:num w:numId="7">
    <w:abstractNumId w:val="18"/>
  </w:num>
  <w:num w:numId="8">
    <w:abstractNumId w:val="10"/>
  </w:num>
  <w:num w:numId="9">
    <w:abstractNumId w:val="9"/>
  </w:num>
  <w:num w:numId="10">
    <w:abstractNumId w:val="4"/>
  </w:num>
  <w:num w:numId="11">
    <w:abstractNumId w:val="13"/>
  </w:num>
  <w:num w:numId="12">
    <w:abstractNumId w:val="11"/>
  </w:num>
  <w:num w:numId="13">
    <w:abstractNumId w:val="20"/>
  </w:num>
  <w:num w:numId="14">
    <w:abstractNumId w:val="2"/>
  </w:num>
  <w:num w:numId="15">
    <w:abstractNumId w:val="3"/>
  </w:num>
  <w:num w:numId="16">
    <w:abstractNumId w:val="8"/>
  </w:num>
  <w:num w:numId="17">
    <w:abstractNumId w:val="17"/>
  </w:num>
  <w:num w:numId="18">
    <w:abstractNumId w:val="15"/>
  </w:num>
  <w:num w:numId="19">
    <w:abstractNumId w:val="5"/>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100">
      <o:colormenu v:ext="edit" strokecolor="none"/>
    </o:shapedefaults>
    <o:shapelayout v:ext="edit">
      <o:idmap v:ext="edit" data="4"/>
    </o:shapelayout>
  </w:hdrShapeDefaults>
  <w:footnotePr>
    <w:footnote w:id="0"/>
    <w:footnote w:id="1"/>
  </w:footnotePr>
  <w:endnotePr>
    <w:endnote w:id="0"/>
    <w:endnote w:id="1"/>
  </w:endnotePr>
  <w:compat/>
  <w:rsids>
    <w:rsidRoot w:val="00BC06A6"/>
    <w:rsid w:val="00001CD2"/>
    <w:rsid w:val="00010D8F"/>
    <w:rsid w:val="00011E0E"/>
    <w:rsid w:val="00015031"/>
    <w:rsid w:val="0001666D"/>
    <w:rsid w:val="00020D08"/>
    <w:rsid w:val="0002184E"/>
    <w:rsid w:val="000246FE"/>
    <w:rsid w:val="000268BB"/>
    <w:rsid w:val="0002749F"/>
    <w:rsid w:val="00031476"/>
    <w:rsid w:val="00036336"/>
    <w:rsid w:val="00041C28"/>
    <w:rsid w:val="00045682"/>
    <w:rsid w:val="000472A8"/>
    <w:rsid w:val="000505B7"/>
    <w:rsid w:val="00051064"/>
    <w:rsid w:val="00054D12"/>
    <w:rsid w:val="00055E54"/>
    <w:rsid w:val="0005716E"/>
    <w:rsid w:val="00057C9B"/>
    <w:rsid w:val="00060B37"/>
    <w:rsid w:val="00063F60"/>
    <w:rsid w:val="00065028"/>
    <w:rsid w:val="00065CED"/>
    <w:rsid w:val="000662E0"/>
    <w:rsid w:val="000670CD"/>
    <w:rsid w:val="0007275B"/>
    <w:rsid w:val="000860A3"/>
    <w:rsid w:val="00087265"/>
    <w:rsid w:val="00093A20"/>
    <w:rsid w:val="000A2132"/>
    <w:rsid w:val="000A314A"/>
    <w:rsid w:val="000A5815"/>
    <w:rsid w:val="000A5919"/>
    <w:rsid w:val="000A6E10"/>
    <w:rsid w:val="000B627E"/>
    <w:rsid w:val="000B7C45"/>
    <w:rsid w:val="000C0636"/>
    <w:rsid w:val="000C47A9"/>
    <w:rsid w:val="000C53E6"/>
    <w:rsid w:val="000D1823"/>
    <w:rsid w:val="000D2F84"/>
    <w:rsid w:val="000D3CDE"/>
    <w:rsid w:val="000E1B27"/>
    <w:rsid w:val="000E5220"/>
    <w:rsid w:val="000F1216"/>
    <w:rsid w:val="000F1695"/>
    <w:rsid w:val="000F486F"/>
    <w:rsid w:val="000F4E9A"/>
    <w:rsid w:val="001047E0"/>
    <w:rsid w:val="0010599C"/>
    <w:rsid w:val="001077A7"/>
    <w:rsid w:val="00110BBF"/>
    <w:rsid w:val="001166A1"/>
    <w:rsid w:val="00116CB3"/>
    <w:rsid w:val="00124F0A"/>
    <w:rsid w:val="00124F91"/>
    <w:rsid w:val="00130B7D"/>
    <w:rsid w:val="00133120"/>
    <w:rsid w:val="00134002"/>
    <w:rsid w:val="00136BE3"/>
    <w:rsid w:val="00136BE9"/>
    <w:rsid w:val="001413F5"/>
    <w:rsid w:val="00144BF2"/>
    <w:rsid w:val="001473D4"/>
    <w:rsid w:val="001622D0"/>
    <w:rsid w:val="00162B86"/>
    <w:rsid w:val="00162D68"/>
    <w:rsid w:val="00171254"/>
    <w:rsid w:val="00171DF5"/>
    <w:rsid w:val="00172A99"/>
    <w:rsid w:val="0017398B"/>
    <w:rsid w:val="00173FD6"/>
    <w:rsid w:val="001767F2"/>
    <w:rsid w:val="0018021F"/>
    <w:rsid w:val="0018250A"/>
    <w:rsid w:val="00183106"/>
    <w:rsid w:val="00191887"/>
    <w:rsid w:val="0019219C"/>
    <w:rsid w:val="00193844"/>
    <w:rsid w:val="00196314"/>
    <w:rsid w:val="00196CEF"/>
    <w:rsid w:val="001A217D"/>
    <w:rsid w:val="001A3032"/>
    <w:rsid w:val="001A3C0E"/>
    <w:rsid w:val="001A3DA5"/>
    <w:rsid w:val="001A7439"/>
    <w:rsid w:val="001B04FF"/>
    <w:rsid w:val="001B1E7C"/>
    <w:rsid w:val="001B71D9"/>
    <w:rsid w:val="001C0E22"/>
    <w:rsid w:val="001C3C78"/>
    <w:rsid w:val="001C673D"/>
    <w:rsid w:val="001D4634"/>
    <w:rsid w:val="001D6BB7"/>
    <w:rsid w:val="001D7208"/>
    <w:rsid w:val="001E09C8"/>
    <w:rsid w:val="001E3AA3"/>
    <w:rsid w:val="001E5D58"/>
    <w:rsid w:val="001E653B"/>
    <w:rsid w:val="001E6C92"/>
    <w:rsid w:val="001E76B8"/>
    <w:rsid w:val="001F05D6"/>
    <w:rsid w:val="001F14C8"/>
    <w:rsid w:val="00202D8B"/>
    <w:rsid w:val="00204D40"/>
    <w:rsid w:val="0021371D"/>
    <w:rsid w:val="00216C70"/>
    <w:rsid w:val="002217A4"/>
    <w:rsid w:val="00221A2D"/>
    <w:rsid w:val="00222881"/>
    <w:rsid w:val="00225266"/>
    <w:rsid w:val="00231522"/>
    <w:rsid w:val="00236261"/>
    <w:rsid w:val="00240144"/>
    <w:rsid w:val="00252D78"/>
    <w:rsid w:val="002549DD"/>
    <w:rsid w:val="00270078"/>
    <w:rsid w:val="002703A9"/>
    <w:rsid w:val="0027336A"/>
    <w:rsid w:val="002769D6"/>
    <w:rsid w:val="00281DED"/>
    <w:rsid w:val="0028229B"/>
    <w:rsid w:val="00284AE6"/>
    <w:rsid w:val="00291DD2"/>
    <w:rsid w:val="002A12A8"/>
    <w:rsid w:val="002A1EB4"/>
    <w:rsid w:val="002B0370"/>
    <w:rsid w:val="002B30DD"/>
    <w:rsid w:val="002B3C42"/>
    <w:rsid w:val="002C16D5"/>
    <w:rsid w:val="002C4928"/>
    <w:rsid w:val="002D76A1"/>
    <w:rsid w:val="002E67A9"/>
    <w:rsid w:val="002F376E"/>
    <w:rsid w:val="002F7AB0"/>
    <w:rsid w:val="00303AC9"/>
    <w:rsid w:val="0030673F"/>
    <w:rsid w:val="00311D66"/>
    <w:rsid w:val="0032454E"/>
    <w:rsid w:val="00330372"/>
    <w:rsid w:val="00332B81"/>
    <w:rsid w:val="00332C16"/>
    <w:rsid w:val="00333689"/>
    <w:rsid w:val="00334931"/>
    <w:rsid w:val="0033718E"/>
    <w:rsid w:val="00340300"/>
    <w:rsid w:val="0034647D"/>
    <w:rsid w:val="00360085"/>
    <w:rsid w:val="0036164A"/>
    <w:rsid w:val="00361ABF"/>
    <w:rsid w:val="00361C48"/>
    <w:rsid w:val="003637E5"/>
    <w:rsid w:val="00363DD3"/>
    <w:rsid w:val="00366347"/>
    <w:rsid w:val="003673B0"/>
    <w:rsid w:val="00373FBD"/>
    <w:rsid w:val="00375132"/>
    <w:rsid w:val="00375C9A"/>
    <w:rsid w:val="0037785E"/>
    <w:rsid w:val="00380C0B"/>
    <w:rsid w:val="00381BB9"/>
    <w:rsid w:val="00383A29"/>
    <w:rsid w:val="00387903"/>
    <w:rsid w:val="003A0370"/>
    <w:rsid w:val="003A1034"/>
    <w:rsid w:val="003A40B1"/>
    <w:rsid w:val="003A54F2"/>
    <w:rsid w:val="003B0831"/>
    <w:rsid w:val="003B3DDF"/>
    <w:rsid w:val="003B50EA"/>
    <w:rsid w:val="003C3C06"/>
    <w:rsid w:val="003C5502"/>
    <w:rsid w:val="003D0398"/>
    <w:rsid w:val="003D138D"/>
    <w:rsid w:val="003D31AF"/>
    <w:rsid w:val="003E4CED"/>
    <w:rsid w:val="003F5861"/>
    <w:rsid w:val="004016AB"/>
    <w:rsid w:val="00401CF4"/>
    <w:rsid w:val="0040516E"/>
    <w:rsid w:val="004058D5"/>
    <w:rsid w:val="00406C51"/>
    <w:rsid w:val="004107E7"/>
    <w:rsid w:val="004115A0"/>
    <w:rsid w:val="004154B8"/>
    <w:rsid w:val="004164EB"/>
    <w:rsid w:val="00417DC0"/>
    <w:rsid w:val="004222B4"/>
    <w:rsid w:val="004229CC"/>
    <w:rsid w:val="0042419A"/>
    <w:rsid w:val="004314E8"/>
    <w:rsid w:val="00434B5A"/>
    <w:rsid w:val="004356E4"/>
    <w:rsid w:val="00445E58"/>
    <w:rsid w:val="00450B6A"/>
    <w:rsid w:val="0045380D"/>
    <w:rsid w:val="004547A3"/>
    <w:rsid w:val="00456683"/>
    <w:rsid w:val="004620AD"/>
    <w:rsid w:val="00463E73"/>
    <w:rsid w:val="00464610"/>
    <w:rsid w:val="00465396"/>
    <w:rsid w:val="00466D6A"/>
    <w:rsid w:val="00473212"/>
    <w:rsid w:val="00474C40"/>
    <w:rsid w:val="00477EFB"/>
    <w:rsid w:val="00480E05"/>
    <w:rsid w:val="0048444D"/>
    <w:rsid w:val="00491A38"/>
    <w:rsid w:val="00492E8D"/>
    <w:rsid w:val="004932ED"/>
    <w:rsid w:val="004948D4"/>
    <w:rsid w:val="004A1AE9"/>
    <w:rsid w:val="004A2976"/>
    <w:rsid w:val="004A742B"/>
    <w:rsid w:val="004C0FF0"/>
    <w:rsid w:val="004C1CF7"/>
    <w:rsid w:val="004D1556"/>
    <w:rsid w:val="004E3089"/>
    <w:rsid w:val="004E4E06"/>
    <w:rsid w:val="004F122F"/>
    <w:rsid w:val="004F411D"/>
    <w:rsid w:val="004F5E93"/>
    <w:rsid w:val="004F647D"/>
    <w:rsid w:val="004F731B"/>
    <w:rsid w:val="005000FA"/>
    <w:rsid w:val="0050773E"/>
    <w:rsid w:val="005113D4"/>
    <w:rsid w:val="00511CDE"/>
    <w:rsid w:val="0051282F"/>
    <w:rsid w:val="00513B88"/>
    <w:rsid w:val="00513D25"/>
    <w:rsid w:val="00517137"/>
    <w:rsid w:val="00522942"/>
    <w:rsid w:val="00530822"/>
    <w:rsid w:val="00530B65"/>
    <w:rsid w:val="005334F5"/>
    <w:rsid w:val="00544B0D"/>
    <w:rsid w:val="00545064"/>
    <w:rsid w:val="0054545E"/>
    <w:rsid w:val="00547F25"/>
    <w:rsid w:val="0055054A"/>
    <w:rsid w:val="00552200"/>
    <w:rsid w:val="00552524"/>
    <w:rsid w:val="00556FE5"/>
    <w:rsid w:val="00557032"/>
    <w:rsid w:val="00561383"/>
    <w:rsid w:val="00563C52"/>
    <w:rsid w:val="0057367E"/>
    <w:rsid w:val="00573BC2"/>
    <w:rsid w:val="005768A5"/>
    <w:rsid w:val="00581FDC"/>
    <w:rsid w:val="0058225D"/>
    <w:rsid w:val="0058565E"/>
    <w:rsid w:val="00586908"/>
    <w:rsid w:val="00586E48"/>
    <w:rsid w:val="00587D92"/>
    <w:rsid w:val="00590DD2"/>
    <w:rsid w:val="00592FA9"/>
    <w:rsid w:val="00593ED1"/>
    <w:rsid w:val="00596566"/>
    <w:rsid w:val="00597250"/>
    <w:rsid w:val="00597504"/>
    <w:rsid w:val="005A0661"/>
    <w:rsid w:val="005A2775"/>
    <w:rsid w:val="005A3B2E"/>
    <w:rsid w:val="005A5AF4"/>
    <w:rsid w:val="005A7760"/>
    <w:rsid w:val="005A7B07"/>
    <w:rsid w:val="005B4F13"/>
    <w:rsid w:val="005B60C9"/>
    <w:rsid w:val="005C01D0"/>
    <w:rsid w:val="005C0EA2"/>
    <w:rsid w:val="005C4F74"/>
    <w:rsid w:val="005C5B6C"/>
    <w:rsid w:val="005C5C7D"/>
    <w:rsid w:val="005D1E7F"/>
    <w:rsid w:val="005D1EB2"/>
    <w:rsid w:val="005D382A"/>
    <w:rsid w:val="005E44CF"/>
    <w:rsid w:val="005E44F5"/>
    <w:rsid w:val="005E59FE"/>
    <w:rsid w:val="005E5DF4"/>
    <w:rsid w:val="005E7839"/>
    <w:rsid w:val="005F1168"/>
    <w:rsid w:val="005F156D"/>
    <w:rsid w:val="005F28A0"/>
    <w:rsid w:val="005F38A0"/>
    <w:rsid w:val="005F5C9F"/>
    <w:rsid w:val="006010BB"/>
    <w:rsid w:val="006044D5"/>
    <w:rsid w:val="00606B42"/>
    <w:rsid w:val="00610F61"/>
    <w:rsid w:val="00612B5B"/>
    <w:rsid w:val="0061487F"/>
    <w:rsid w:val="00620202"/>
    <w:rsid w:val="0062446A"/>
    <w:rsid w:val="00626B90"/>
    <w:rsid w:val="00634604"/>
    <w:rsid w:val="006377BE"/>
    <w:rsid w:val="00642843"/>
    <w:rsid w:val="00651625"/>
    <w:rsid w:val="00651F38"/>
    <w:rsid w:val="00652BB9"/>
    <w:rsid w:val="00653456"/>
    <w:rsid w:val="006602EC"/>
    <w:rsid w:val="00667381"/>
    <w:rsid w:val="00667DF2"/>
    <w:rsid w:val="0067032E"/>
    <w:rsid w:val="006728B7"/>
    <w:rsid w:val="00674BE8"/>
    <w:rsid w:val="00677FC6"/>
    <w:rsid w:val="0068104B"/>
    <w:rsid w:val="00684A9E"/>
    <w:rsid w:val="00684F33"/>
    <w:rsid w:val="00690BBA"/>
    <w:rsid w:val="00691396"/>
    <w:rsid w:val="006964AA"/>
    <w:rsid w:val="00697C02"/>
    <w:rsid w:val="006A03A5"/>
    <w:rsid w:val="006A1BFC"/>
    <w:rsid w:val="006A4C9B"/>
    <w:rsid w:val="006A4D80"/>
    <w:rsid w:val="006B0DE9"/>
    <w:rsid w:val="006B186C"/>
    <w:rsid w:val="006B2115"/>
    <w:rsid w:val="006B3F0C"/>
    <w:rsid w:val="006B780E"/>
    <w:rsid w:val="006D0831"/>
    <w:rsid w:val="006D34C0"/>
    <w:rsid w:val="006D5194"/>
    <w:rsid w:val="006D5996"/>
    <w:rsid w:val="006D6281"/>
    <w:rsid w:val="006D76E5"/>
    <w:rsid w:val="006E3939"/>
    <w:rsid w:val="006E417B"/>
    <w:rsid w:val="006E5F1F"/>
    <w:rsid w:val="006E7D30"/>
    <w:rsid w:val="006F02E0"/>
    <w:rsid w:val="006F2E91"/>
    <w:rsid w:val="006F3193"/>
    <w:rsid w:val="006F463A"/>
    <w:rsid w:val="006F792D"/>
    <w:rsid w:val="00700B2D"/>
    <w:rsid w:val="007041B2"/>
    <w:rsid w:val="00710A00"/>
    <w:rsid w:val="007124B8"/>
    <w:rsid w:val="00714A02"/>
    <w:rsid w:val="007169C1"/>
    <w:rsid w:val="007210A6"/>
    <w:rsid w:val="0072286E"/>
    <w:rsid w:val="00723775"/>
    <w:rsid w:val="00734104"/>
    <w:rsid w:val="007353DB"/>
    <w:rsid w:val="0073729C"/>
    <w:rsid w:val="00741FD2"/>
    <w:rsid w:val="007425B1"/>
    <w:rsid w:val="00746360"/>
    <w:rsid w:val="00747149"/>
    <w:rsid w:val="0074756F"/>
    <w:rsid w:val="00747ADE"/>
    <w:rsid w:val="00750331"/>
    <w:rsid w:val="007564DF"/>
    <w:rsid w:val="00756C98"/>
    <w:rsid w:val="00756E3D"/>
    <w:rsid w:val="007578DC"/>
    <w:rsid w:val="007629CF"/>
    <w:rsid w:val="0076345D"/>
    <w:rsid w:val="0076716D"/>
    <w:rsid w:val="00767AFB"/>
    <w:rsid w:val="00767E7F"/>
    <w:rsid w:val="007747BD"/>
    <w:rsid w:val="00776133"/>
    <w:rsid w:val="00786D2B"/>
    <w:rsid w:val="007903D5"/>
    <w:rsid w:val="007932A8"/>
    <w:rsid w:val="00793ADB"/>
    <w:rsid w:val="00794C11"/>
    <w:rsid w:val="00795662"/>
    <w:rsid w:val="0079593F"/>
    <w:rsid w:val="007A0FD0"/>
    <w:rsid w:val="007A2FB3"/>
    <w:rsid w:val="007A4BA4"/>
    <w:rsid w:val="007A551E"/>
    <w:rsid w:val="007A58F6"/>
    <w:rsid w:val="007A6186"/>
    <w:rsid w:val="007A61B1"/>
    <w:rsid w:val="007A621F"/>
    <w:rsid w:val="007B2881"/>
    <w:rsid w:val="007B3BCA"/>
    <w:rsid w:val="007C1962"/>
    <w:rsid w:val="007D76AD"/>
    <w:rsid w:val="007E00BD"/>
    <w:rsid w:val="007E358C"/>
    <w:rsid w:val="007E563B"/>
    <w:rsid w:val="007E6F24"/>
    <w:rsid w:val="007F3E12"/>
    <w:rsid w:val="00802B05"/>
    <w:rsid w:val="00810012"/>
    <w:rsid w:val="00814694"/>
    <w:rsid w:val="00816AAD"/>
    <w:rsid w:val="00821A92"/>
    <w:rsid w:val="00831774"/>
    <w:rsid w:val="008323FE"/>
    <w:rsid w:val="00843852"/>
    <w:rsid w:val="0084678A"/>
    <w:rsid w:val="008510CD"/>
    <w:rsid w:val="00851189"/>
    <w:rsid w:val="008519E2"/>
    <w:rsid w:val="00851C24"/>
    <w:rsid w:val="00853210"/>
    <w:rsid w:val="00853E6E"/>
    <w:rsid w:val="00861281"/>
    <w:rsid w:val="00861736"/>
    <w:rsid w:val="00862FF0"/>
    <w:rsid w:val="00863A65"/>
    <w:rsid w:val="00863C7B"/>
    <w:rsid w:val="008652D8"/>
    <w:rsid w:val="00865C7D"/>
    <w:rsid w:val="00873FA4"/>
    <w:rsid w:val="0088129D"/>
    <w:rsid w:val="00884CD7"/>
    <w:rsid w:val="00887308"/>
    <w:rsid w:val="00897896"/>
    <w:rsid w:val="008A0854"/>
    <w:rsid w:val="008A7CD1"/>
    <w:rsid w:val="008B0886"/>
    <w:rsid w:val="008B69C8"/>
    <w:rsid w:val="008C0474"/>
    <w:rsid w:val="008C6235"/>
    <w:rsid w:val="008D1BAE"/>
    <w:rsid w:val="008D28FC"/>
    <w:rsid w:val="008D4321"/>
    <w:rsid w:val="008D4C73"/>
    <w:rsid w:val="008D62E0"/>
    <w:rsid w:val="008E2AF5"/>
    <w:rsid w:val="008E395F"/>
    <w:rsid w:val="008E56C7"/>
    <w:rsid w:val="008F2E04"/>
    <w:rsid w:val="008F5EB7"/>
    <w:rsid w:val="008F7B28"/>
    <w:rsid w:val="009063D9"/>
    <w:rsid w:val="009122A0"/>
    <w:rsid w:val="00914432"/>
    <w:rsid w:val="00923D88"/>
    <w:rsid w:val="00924BFC"/>
    <w:rsid w:val="00924F73"/>
    <w:rsid w:val="00926E28"/>
    <w:rsid w:val="009301C4"/>
    <w:rsid w:val="00930A0C"/>
    <w:rsid w:val="009358D5"/>
    <w:rsid w:val="00935AC0"/>
    <w:rsid w:val="00937583"/>
    <w:rsid w:val="0094023F"/>
    <w:rsid w:val="0094089E"/>
    <w:rsid w:val="0094452D"/>
    <w:rsid w:val="00944731"/>
    <w:rsid w:val="0094499D"/>
    <w:rsid w:val="00944FBC"/>
    <w:rsid w:val="00945641"/>
    <w:rsid w:val="0097360B"/>
    <w:rsid w:val="00973F43"/>
    <w:rsid w:val="009752C7"/>
    <w:rsid w:val="009777BC"/>
    <w:rsid w:val="00985718"/>
    <w:rsid w:val="00985796"/>
    <w:rsid w:val="00985CB0"/>
    <w:rsid w:val="0099069C"/>
    <w:rsid w:val="009911A3"/>
    <w:rsid w:val="009933EA"/>
    <w:rsid w:val="009A13DD"/>
    <w:rsid w:val="009A32C5"/>
    <w:rsid w:val="009A5AA8"/>
    <w:rsid w:val="009A75D4"/>
    <w:rsid w:val="009B2077"/>
    <w:rsid w:val="009B2E18"/>
    <w:rsid w:val="009B5873"/>
    <w:rsid w:val="009B5C53"/>
    <w:rsid w:val="009C6B03"/>
    <w:rsid w:val="009C7CD9"/>
    <w:rsid w:val="009D0D3B"/>
    <w:rsid w:val="009D2451"/>
    <w:rsid w:val="009D7FCA"/>
    <w:rsid w:val="009E155E"/>
    <w:rsid w:val="009E7CC2"/>
    <w:rsid w:val="009F7907"/>
    <w:rsid w:val="00A128F3"/>
    <w:rsid w:val="00A2109D"/>
    <w:rsid w:val="00A2420E"/>
    <w:rsid w:val="00A3407C"/>
    <w:rsid w:val="00A355C9"/>
    <w:rsid w:val="00A372F8"/>
    <w:rsid w:val="00A42924"/>
    <w:rsid w:val="00A462E1"/>
    <w:rsid w:val="00A4792B"/>
    <w:rsid w:val="00A50634"/>
    <w:rsid w:val="00A5123D"/>
    <w:rsid w:val="00A534DD"/>
    <w:rsid w:val="00A639F0"/>
    <w:rsid w:val="00A6416F"/>
    <w:rsid w:val="00A71518"/>
    <w:rsid w:val="00A71D07"/>
    <w:rsid w:val="00A73080"/>
    <w:rsid w:val="00A73AE2"/>
    <w:rsid w:val="00A80CDB"/>
    <w:rsid w:val="00A81811"/>
    <w:rsid w:val="00A94169"/>
    <w:rsid w:val="00A962B1"/>
    <w:rsid w:val="00A97919"/>
    <w:rsid w:val="00AB0D73"/>
    <w:rsid w:val="00AB1230"/>
    <w:rsid w:val="00AB1AD6"/>
    <w:rsid w:val="00AB4FB0"/>
    <w:rsid w:val="00AB7282"/>
    <w:rsid w:val="00AC1A64"/>
    <w:rsid w:val="00AC242A"/>
    <w:rsid w:val="00AC79AA"/>
    <w:rsid w:val="00AD7A93"/>
    <w:rsid w:val="00AE05BA"/>
    <w:rsid w:val="00AE2D7A"/>
    <w:rsid w:val="00AE386B"/>
    <w:rsid w:val="00AE4F1E"/>
    <w:rsid w:val="00AE6FBD"/>
    <w:rsid w:val="00B0466D"/>
    <w:rsid w:val="00B06D0F"/>
    <w:rsid w:val="00B071C1"/>
    <w:rsid w:val="00B108A9"/>
    <w:rsid w:val="00B12067"/>
    <w:rsid w:val="00B127B8"/>
    <w:rsid w:val="00B13387"/>
    <w:rsid w:val="00B14ABD"/>
    <w:rsid w:val="00B15959"/>
    <w:rsid w:val="00B17D97"/>
    <w:rsid w:val="00B21BCA"/>
    <w:rsid w:val="00B2326A"/>
    <w:rsid w:val="00B23B75"/>
    <w:rsid w:val="00B23C64"/>
    <w:rsid w:val="00B25127"/>
    <w:rsid w:val="00B25C1A"/>
    <w:rsid w:val="00B26CFA"/>
    <w:rsid w:val="00B30106"/>
    <w:rsid w:val="00B316D9"/>
    <w:rsid w:val="00B33CF4"/>
    <w:rsid w:val="00B36C10"/>
    <w:rsid w:val="00B403A7"/>
    <w:rsid w:val="00B424CC"/>
    <w:rsid w:val="00B42C00"/>
    <w:rsid w:val="00B42E23"/>
    <w:rsid w:val="00B447E3"/>
    <w:rsid w:val="00B518FA"/>
    <w:rsid w:val="00B51F36"/>
    <w:rsid w:val="00B535D2"/>
    <w:rsid w:val="00B53986"/>
    <w:rsid w:val="00B61C9B"/>
    <w:rsid w:val="00B6686E"/>
    <w:rsid w:val="00B824F6"/>
    <w:rsid w:val="00B834DA"/>
    <w:rsid w:val="00B92A71"/>
    <w:rsid w:val="00B92E56"/>
    <w:rsid w:val="00B9374C"/>
    <w:rsid w:val="00B94B22"/>
    <w:rsid w:val="00BA5EAA"/>
    <w:rsid w:val="00BB27EB"/>
    <w:rsid w:val="00BB3BE8"/>
    <w:rsid w:val="00BC06A6"/>
    <w:rsid w:val="00BC25D0"/>
    <w:rsid w:val="00BC2CFB"/>
    <w:rsid w:val="00BD76F8"/>
    <w:rsid w:val="00BE2355"/>
    <w:rsid w:val="00BF2BDC"/>
    <w:rsid w:val="00BF5BE2"/>
    <w:rsid w:val="00BF5C2C"/>
    <w:rsid w:val="00BF6639"/>
    <w:rsid w:val="00C00EA9"/>
    <w:rsid w:val="00C00F75"/>
    <w:rsid w:val="00C02394"/>
    <w:rsid w:val="00C045DC"/>
    <w:rsid w:val="00C04D19"/>
    <w:rsid w:val="00C14514"/>
    <w:rsid w:val="00C203BB"/>
    <w:rsid w:val="00C20864"/>
    <w:rsid w:val="00C2115D"/>
    <w:rsid w:val="00C24A76"/>
    <w:rsid w:val="00C24CC2"/>
    <w:rsid w:val="00C259D9"/>
    <w:rsid w:val="00C25E49"/>
    <w:rsid w:val="00C26027"/>
    <w:rsid w:val="00C27374"/>
    <w:rsid w:val="00C2794C"/>
    <w:rsid w:val="00C303C5"/>
    <w:rsid w:val="00C31AC2"/>
    <w:rsid w:val="00C3406B"/>
    <w:rsid w:val="00C3562E"/>
    <w:rsid w:val="00C41A17"/>
    <w:rsid w:val="00C44F60"/>
    <w:rsid w:val="00C50939"/>
    <w:rsid w:val="00C5208B"/>
    <w:rsid w:val="00C5425E"/>
    <w:rsid w:val="00C542F0"/>
    <w:rsid w:val="00C54603"/>
    <w:rsid w:val="00C62984"/>
    <w:rsid w:val="00C66E12"/>
    <w:rsid w:val="00C71830"/>
    <w:rsid w:val="00C73367"/>
    <w:rsid w:val="00C76912"/>
    <w:rsid w:val="00C779CC"/>
    <w:rsid w:val="00C800C7"/>
    <w:rsid w:val="00C81EE0"/>
    <w:rsid w:val="00C82DEF"/>
    <w:rsid w:val="00C844A1"/>
    <w:rsid w:val="00C84962"/>
    <w:rsid w:val="00C8573E"/>
    <w:rsid w:val="00C85752"/>
    <w:rsid w:val="00C90E5A"/>
    <w:rsid w:val="00C95E81"/>
    <w:rsid w:val="00C96B2A"/>
    <w:rsid w:val="00CA3584"/>
    <w:rsid w:val="00CA58E8"/>
    <w:rsid w:val="00CB0A9E"/>
    <w:rsid w:val="00CB25C1"/>
    <w:rsid w:val="00CB296C"/>
    <w:rsid w:val="00CC298F"/>
    <w:rsid w:val="00CC7429"/>
    <w:rsid w:val="00CD66D4"/>
    <w:rsid w:val="00CE0133"/>
    <w:rsid w:val="00CE0203"/>
    <w:rsid w:val="00CE0A6F"/>
    <w:rsid w:val="00CE108B"/>
    <w:rsid w:val="00CE1C3E"/>
    <w:rsid w:val="00CE21CE"/>
    <w:rsid w:val="00CE2786"/>
    <w:rsid w:val="00CE377E"/>
    <w:rsid w:val="00CE51BE"/>
    <w:rsid w:val="00CE5258"/>
    <w:rsid w:val="00CE70FE"/>
    <w:rsid w:val="00CF0578"/>
    <w:rsid w:val="00CF318B"/>
    <w:rsid w:val="00CF326B"/>
    <w:rsid w:val="00CF60A2"/>
    <w:rsid w:val="00D03087"/>
    <w:rsid w:val="00D04FE9"/>
    <w:rsid w:val="00D05C24"/>
    <w:rsid w:val="00D05D96"/>
    <w:rsid w:val="00D0605B"/>
    <w:rsid w:val="00D11812"/>
    <w:rsid w:val="00D11A63"/>
    <w:rsid w:val="00D15CF2"/>
    <w:rsid w:val="00D22E8F"/>
    <w:rsid w:val="00D24CA4"/>
    <w:rsid w:val="00D2632B"/>
    <w:rsid w:val="00D31C02"/>
    <w:rsid w:val="00D32E61"/>
    <w:rsid w:val="00D413B2"/>
    <w:rsid w:val="00D44A56"/>
    <w:rsid w:val="00D454C8"/>
    <w:rsid w:val="00D46858"/>
    <w:rsid w:val="00D50828"/>
    <w:rsid w:val="00D5212C"/>
    <w:rsid w:val="00D529A0"/>
    <w:rsid w:val="00D61794"/>
    <w:rsid w:val="00D64617"/>
    <w:rsid w:val="00D65BD9"/>
    <w:rsid w:val="00D70190"/>
    <w:rsid w:val="00D715E2"/>
    <w:rsid w:val="00D72A83"/>
    <w:rsid w:val="00D73152"/>
    <w:rsid w:val="00D75976"/>
    <w:rsid w:val="00D778E8"/>
    <w:rsid w:val="00D85052"/>
    <w:rsid w:val="00D905C7"/>
    <w:rsid w:val="00D9198D"/>
    <w:rsid w:val="00D9589F"/>
    <w:rsid w:val="00D9680A"/>
    <w:rsid w:val="00DA2497"/>
    <w:rsid w:val="00DA584E"/>
    <w:rsid w:val="00DA79D6"/>
    <w:rsid w:val="00DB2A01"/>
    <w:rsid w:val="00DB2F31"/>
    <w:rsid w:val="00DB31FF"/>
    <w:rsid w:val="00DB4D2C"/>
    <w:rsid w:val="00DB5826"/>
    <w:rsid w:val="00DC2C39"/>
    <w:rsid w:val="00DC4CA0"/>
    <w:rsid w:val="00DC6ACF"/>
    <w:rsid w:val="00DD41E5"/>
    <w:rsid w:val="00DD483E"/>
    <w:rsid w:val="00DD7F17"/>
    <w:rsid w:val="00DE1F4A"/>
    <w:rsid w:val="00DF0E00"/>
    <w:rsid w:val="00DF4C47"/>
    <w:rsid w:val="00DF599B"/>
    <w:rsid w:val="00DF5A57"/>
    <w:rsid w:val="00E01E8D"/>
    <w:rsid w:val="00E02E57"/>
    <w:rsid w:val="00E0627A"/>
    <w:rsid w:val="00E06924"/>
    <w:rsid w:val="00E12467"/>
    <w:rsid w:val="00E126C2"/>
    <w:rsid w:val="00E14426"/>
    <w:rsid w:val="00E16193"/>
    <w:rsid w:val="00E17771"/>
    <w:rsid w:val="00E24E45"/>
    <w:rsid w:val="00E27C35"/>
    <w:rsid w:val="00E36573"/>
    <w:rsid w:val="00E4144C"/>
    <w:rsid w:val="00E43118"/>
    <w:rsid w:val="00E43654"/>
    <w:rsid w:val="00E47ED2"/>
    <w:rsid w:val="00E5150F"/>
    <w:rsid w:val="00E52AF0"/>
    <w:rsid w:val="00E53EBA"/>
    <w:rsid w:val="00E55002"/>
    <w:rsid w:val="00E5657B"/>
    <w:rsid w:val="00E62CF8"/>
    <w:rsid w:val="00E63605"/>
    <w:rsid w:val="00E66BE3"/>
    <w:rsid w:val="00E72F89"/>
    <w:rsid w:val="00E74914"/>
    <w:rsid w:val="00E75705"/>
    <w:rsid w:val="00E776EA"/>
    <w:rsid w:val="00E81260"/>
    <w:rsid w:val="00E84770"/>
    <w:rsid w:val="00E851E9"/>
    <w:rsid w:val="00E945EA"/>
    <w:rsid w:val="00E96FA9"/>
    <w:rsid w:val="00E97067"/>
    <w:rsid w:val="00E97611"/>
    <w:rsid w:val="00EA40E5"/>
    <w:rsid w:val="00EA5B60"/>
    <w:rsid w:val="00EA7A0A"/>
    <w:rsid w:val="00EB0A84"/>
    <w:rsid w:val="00EB55EA"/>
    <w:rsid w:val="00ED0FCC"/>
    <w:rsid w:val="00EE093E"/>
    <w:rsid w:val="00EE39EA"/>
    <w:rsid w:val="00EE6121"/>
    <w:rsid w:val="00EF6731"/>
    <w:rsid w:val="00EF7BE7"/>
    <w:rsid w:val="00F039C9"/>
    <w:rsid w:val="00F053C3"/>
    <w:rsid w:val="00F06662"/>
    <w:rsid w:val="00F06DE1"/>
    <w:rsid w:val="00F06F3D"/>
    <w:rsid w:val="00F0769D"/>
    <w:rsid w:val="00F117DB"/>
    <w:rsid w:val="00F21F45"/>
    <w:rsid w:val="00F252C1"/>
    <w:rsid w:val="00F27375"/>
    <w:rsid w:val="00F30991"/>
    <w:rsid w:val="00F31680"/>
    <w:rsid w:val="00F37485"/>
    <w:rsid w:val="00F47B30"/>
    <w:rsid w:val="00F529EB"/>
    <w:rsid w:val="00F61FBF"/>
    <w:rsid w:val="00F62F64"/>
    <w:rsid w:val="00F63815"/>
    <w:rsid w:val="00F64F05"/>
    <w:rsid w:val="00F65C1D"/>
    <w:rsid w:val="00F6600C"/>
    <w:rsid w:val="00F67A7D"/>
    <w:rsid w:val="00F701A5"/>
    <w:rsid w:val="00F70291"/>
    <w:rsid w:val="00F72017"/>
    <w:rsid w:val="00F73120"/>
    <w:rsid w:val="00F739FA"/>
    <w:rsid w:val="00F74AB9"/>
    <w:rsid w:val="00F7536F"/>
    <w:rsid w:val="00F82C34"/>
    <w:rsid w:val="00F86A20"/>
    <w:rsid w:val="00F90C01"/>
    <w:rsid w:val="00F96D44"/>
    <w:rsid w:val="00FA2D67"/>
    <w:rsid w:val="00FB0094"/>
    <w:rsid w:val="00FB13A7"/>
    <w:rsid w:val="00FB4C2E"/>
    <w:rsid w:val="00FC1206"/>
    <w:rsid w:val="00FC5DD0"/>
    <w:rsid w:val="00FD0595"/>
    <w:rsid w:val="00FD2CAF"/>
    <w:rsid w:val="00FD43F5"/>
    <w:rsid w:val="00FD4AA7"/>
    <w:rsid w:val="00FE113F"/>
    <w:rsid w:val="00FE23AC"/>
    <w:rsid w:val="00FE37CA"/>
    <w:rsid w:val="00FF01FD"/>
    <w:rsid w:val="00FF1D76"/>
    <w:rsid w:val="00FF27AE"/>
    <w:rsid w:val="00FF308D"/>
    <w:rsid w:val="00FF679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10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AA"/>
    <w:rPr>
      <w:rFonts w:ascii="Times New Roman" w:eastAsia="Times New Roman" w:hAnsi="Times New Roman"/>
      <w:sz w:val="24"/>
      <w:szCs w:val="24"/>
      <w:lang w:val="en-US" w:eastAsia="en-US"/>
    </w:rPr>
  </w:style>
  <w:style w:type="paragraph" w:styleId="Heading3">
    <w:name w:val="heading 3"/>
    <w:basedOn w:val="Normal"/>
    <w:next w:val="Normal"/>
    <w:link w:val="Heading3Char"/>
    <w:qFormat/>
    <w:rsid w:val="008C0474"/>
    <w:pPr>
      <w:keepNext/>
      <w:jc w:val="center"/>
      <w:outlineLvl w:val="2"/>
    </w:pPr>
    <w:rPr>
      <w:rFonts w:ascii="Arial" w:hAnsi="Arial"/>
      <w:b/>
      <w:bCs/>
      <w:sz w:val="28"/>
      <w:szCs w:val="20"/>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rsid w:val="00BC06A6"/>
  </w:style>
  <w:style w:type="table" w:styleId="TableGrid">
    <w:name w:val="Table Grid"/>
    <w:basedOn w:val="TableNormal"/>
    <w:uiPriority w:val="39"/>
    <w:rsid w:val="00CD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6D4"/>
    <w:pPr>
      <w:spacing w:after="160" w:line="259" w:lineRule="auto"/>
      <w:ind w:left="720"/>
      <w:contextualSpacing/>
    </w:pPr>
    <w:rPr>
      <w:rFonts w:ascii="Calibri" w:eastAsia="Calibri" w:hAnsi="Calibri"/>
      <w:sz w:val="22"/>
      <w:szCs w:val="22"/>
      <w:lang w:val="en-PH"/>
    </w:rPr>
  </w:style>
  <w:style w:type="paragraph" w:styleId="BalloonText">
    <w:name w:val="Balloon Text"/>
    <w:basedOn w:val="Normal"/>
    <w:link w:val="BalloonTextChar"/>
    <w:uiPriority w:val="99"/>
    <w:semiHidden/>
    <w:unhideWhenUsed/>
    <w:rsid w:val="00FE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AC"/>
    <w:rPr>
      <w:rFonts w:ascii="Segoe UI" w:hAnsi="Segoe UI" w:cs="Segoe UI"/>
      <w:sz w:val="18"/>
      <w:szCs w:val="18"/>
    </w:rPr>
  </w:style>
  <w:style w:type="character" w:styleId="Hyperlink">
    <w:name w:val="Hyperlink"/>
    <w:basedOn w:val="DefaultParagraphFont"/>
    <w:uiPriority w:val="99"/>
    <w:unhideWhenUsed/>
    <w:rsid w:val="00B26CFA"/>
    <w:rPr>
      <w:color w:val="0563C1"/>
      <w:u w:val="single"/>
    </w:rPr>
  </w:style>
  <w:style w:type="paragraph" w:styleId="NoSpacing">
    <w:name w:val="No Spacing"/>
    <w:uiPriority w:val="1"/>
    <w:qFormat/>
    <w:rsid w:val="006964AA"/>
    <w:rPr>
      <w:sz w:val="22"/>
      <w:szCs w:val="22"/>
      <w:lang w:val="en-US" w:eastAsia="en-US"/>
    </w:rPr>
  </w:style>
  <w:style w:type="paragraph" w:customStyle="1" w:styleId="Default">
    <w:name w:val="Default"/>
    <w:rsid w:val="00B071C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61794"/>
    <w:pPr>
      <w:spacing w:before="100" w:beforeAutospacing="1" w:after="100" w:afterAutospacing="1"/>
    </w:pPr>
  </w:style>
  <w:style w:type="character" w:customStyle="1" w:styleId="Heading3Char">
    <w:name w:val="Heading 3 Char"/>
    <w:basedOn w:val="DefaultParagraphFont"/>
    <w:link w:val="Heading3"/>
    <w:rsid w:val="008C0474"/>
    <w:rPr>
      <w:rFonts w:ascii="Arial" w:eastAsia="Times New Roman" w:hAnsi="Arial"/>
      <w:b/>
      <w:bCs/>
      <w:sz w:val="28"/>
      <w:lang w:eastAsia="en-US"/>
    </w:rPr>
  </w:style>
  <w:style w:type="paragraph" w:styleId="BodyText">
    <w:name w:val="Body Text"/>
    <w:basedOn w:val="Normal"/>
    <w:link w:val="BodyTextChar"/>
    <w:uiPriority w:val="1"/>
    <w:qFormat/>
    <w:rsid w:val="00332C16"/>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332C16"/>
    <w:rPr>
      <w:rFonts w:ascii="Arial" w:eastAsia="Arial" w:hAnsi="Arial" w:cs="Arial"/>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w:divs>
    <w:div w:id="535581378">
      <w:bodyDiv w:val="1"/>
      <w:marLeft w:val="0"/>
      <w:marRight w:val="0"/>
      <w:marTop w:val="0"/>
      <w:marBottom w:val="0"/>
      <w:divBdr>
        <w:top w:val="none" w:sz="0" w:space="0" w:color="auto"/>
        <w:left w:val="none" w:sz="0" w:space="0" w:color="auto"/>
        <w:bottom w:val="none" w:sz="0" w:space="0" w:color="auto"/>
        <w:right w:val="none" w:sz="0" w:space="0" w:color="auto"/>
      </w:divBdr>
    </w:div>
    <w:div w:id="669648993">
      <w:bodyDiv w:val="1"/>
      <w:marLeft w:val="0"/>
      <w:marRight w:val="0"/>
      <w:marTop w:val="0"/>
      <w:marBottom w:val="0"/>
      <w:divBdr>
        <w:top w:val="none" w:sz="0" w:space="0" w:color="auto"/>
        <w:left w:val="none" w:sz="0" w:space="0" w:color="auto"/>
        <w:bottom w:val="none" w:sz="0" w:space="0" w:color="auto"/>
        <w:right w:val="none" w:sz="0" w:space="0" w:color="auto"/>
      </w:divBdr>
    </w:div>
    <w:div w:id="718938075">
      <w:bodyDiv w:val="1"/>
      <w:marLeft w:val="0"/>
      <w:marRight w:val="0"/>
      <w:marTop w:val="0"/>
      <w:marBottom w:val="0"/>
      <w:divBdr>
        <w:top w:val="none" w:sz="0" w:space="0" w:color="auto"/>
        <w:left w:val="none" w:sz="0" w:space="0" w:color="auto"/>
        <w:bottom w:val="none" w:sz="0" w:space="0" w:color="auto"/>
        <w:right w:val="none" w:sz="0" w:space="0" w:color="auto"/>
      </w:divBdr>
    </w:div>
    <w:div w:id="744690609">
      <w:bodyDiv w:val="1"/>
      <w:marLeft w:val="0"/>
      <w:marRight w:val="0"/>
      <w:marTop w:val="0"/>
      <w:marBottom w:val="0"/>
      <w:divBdr>
        <w:top w:val="none" w:sz="0" w:space="0" w:color="auto"/>
        <w:left w:val="none" w:sz="0" w:space="0" w:color="auto"/>
        <w:bottom w:val="none" w:sz="0" w:space="0" w:color="auto"/>
        <w:right w:val="none" w:sz="0" w:space="0" w:color="auto"/>
      </w:divBdr>
    </w:div>
    <w:div w:id="910851131">
      <w:bodyDiv w:val="1"/>
      <w:marLeft w:val="0"/>
      <w:marRight w:val="0"/>
      <w:marTop w:val="0"/>
      <w:marBottom w:val="0"/>
      <w:divBdr>
        <w:top w:val="none" w:sz="0" w:space="0" w:color="auto"/>
        <w:left w:val="none" w:sz="0" w:space="0" w:color="auto"/>
        <w:bottom w:val="none" w:sz="0" w:space="0" w:color="auto"/>
        <w:right w:val="none" w:sz="0" w:space="0" w:color="auto"/>
      </w:divBdr>
    </w:div>
    <w:div w:id="1042285085">
      <w:bodyDiv w:val="1"/>
      <w:marLeft w:val="0"/>
      <w:marRight w:val="0"/>
      <w:marTop w:val="0"/>
      <w:marBottom w:val="0"/>
      <w:divBdr>
        <w:top w:val="none" w:sz="0" w:space="0" w:color="auto"/>
        <w:left w:val="none" w:sz="0" w:space="0" w:color="auto"/>
        <w:bottom w:val="none" w:sz="0" w:space="0" w:color="auto"/>
        <w:right w:val="none" w:sz="0" w:space="0" w:color="auto"/>
      </w:divBdr>
    </w:div>
    <w:div w:id="1108965047">
      <w:bodyDiv w:val="1"/>
      <w:marLeft w:val="0"/>
      <w:marRight w:val="0"/>
      <w:marTop w:val="0"/>
      <w:marBottom w:val="0"/>
      <w:divBdr>
        <w:top w:val="none" w:sz="0" w:space="0" w:color="auto"/>
        <w:left w:val="none" w:sz="0" w:space="0" w:color="auto"/>
        <w:bottom w:val="none" w:sz="0" w:space="0" w:color="auto"/>
        <w:right w:val="none" w:sz="0" w:space="0" w:color="auto"/>
      </w:divBdr>
      <w:divsChild>
        <w:div w:id="61029752">
          <w:marLeft w:val="0"/>
          <w:marRight w:val="0"/>
          <w:marTop w:val="0"/>
          <w:marBottom w:val="0"/>
          <w:divBdr>
            <w:top w:val="none" w:sz="0" w:space="0" w:color="auto"/>
            <w:left w:val="none" w:sz="0" w:space="0" w:color="auto"/>
            <w:bottom w:val="none" w:sz="0" w:space="0" w:color="auto"/>
            <w:right w:val="none" w:sz="0" w:space="0" w:color="auto"/>
          </w:divBdr>
          <w:divsChild>
            <w:div w:id="1619067117">
              <w:marLeft w:val="0"/>
              <w:marRight w:val="0"/>
              <w:marTop w:val="0"/>
              <w:marBottom w:val="0"/>
              <w:divBdr>
                <w:top w:val="none" w:sz="0" w:space="0" w:color="auto"/>
                <w:left w:val="none" w:sz="0" w:space="0" w:color="auto"/>
                <w:bottom w:val="none" w:sz="0" w:space="0" w:color="auto"/>
                <w:right w:val="none" w:sz="0" w:space="0" w:color="auto"/>
              </w:divBdr>
              <w:divsChild>
                <w:div w:id="1089422073">
                  <w:marLeft w:val="0"/>
                  <w:marRight w:val="0"/>
                  <w:marTop w:val="0"/>
                  <w:marBottom w:val="0"/>
                  <w:divBdr>
                    <w:top w:val="none" w:sz="0" w:space="0" w:color="auto"/>
                    <w:left w:val="none" w:sz="0" w:space="0" w:color="auto"/>
                    <w:bottom w:val="none" w:sz="0" w:space="0" w:color="auto"/>
                    <w:right w:val="none" w:sz="0" w:space="0" w:color="auto"/>
                  </w:divBdr>
                  <w:divsChild>
                    <w:div w:id="1122575274">
                      <w:marLeft w:val="0"/>
                      <w:marRight w:val="0"/>
                      <w:marTop w:val="0"/>
                      <w:marBottom w:val="0"/>
                      <w:divBdr>
                        <w:top w:val="none" w:sz="0" w:space="0" w:color="auto"/>
                        <w:left w:val="none" w:sz="0" w:space="0" w:color="auto"/>
                        <w:bottom w:val="none" w:sz="0" w:space="0" w:color="auto"/>
                        <w:right w:val="none" w:sz="0" w:space="0" w:color="auto"/>
                      </w:divBdr>
                      <w:divsChild>
                        <w:div w:id="956957494">
                          <w:marLeft w:val="0"/>
                          <w:marRight w:val="0"/>
                          <w:marTop w:val="0"/>
                          <w:marBottom w:val="0"/>
                          <w:divBdr>
                            <w:top w:val="none" w:sz="0" w:space="0" w:color="auto"/>
                            <w:left w:val="none" w:sz="0" w:space="0" w:color="auto"/>
                            <w:bottom w:val="none" w:sz="0" w:space="0" w:color="auto"/>
                            <w:right w:val="none" w:sz="0" w:space="0" w:color="auto"/>
                          </w:divBdr>
                          <w:divsChild>
                            <w:div w:id="394740288">
                              <w:marLeft w:val="0"/>
                              <w:marRight w:val="0"/>
                              <w:marTop w:val="0"/>
                              <w:marBottom w:val="0"/>
                              <w:divBdr>
                                <w:top w:val="none" w:sz="0" w:space="0" w:color="auto"/>
                                <w:left w:val="none" w:sz="0" w:space="0" w:color="auto"/>
                                <w:bottom w:val="none" w:sz="0" w:space="0" w:color="auto"/>
                                <w:right w:val="none" w:sz="0" w:space="0" w:color="auto"/>
                              </w:divBdr>
                              <w:divsChild>
                                <w:div w:id="800535156">
                                  <w:marLeft w:val="0"/>
                                  <w:marRight w:val="0"/>
                                  <w:marTop w:val="0"/>
                                  <w:marBottom w:val="0"/>
                                  <w:divBdr>
                                    <w:top w:val="none" w:sz="0" w:space="0" w:color="auto"/>
                                    <w:left w:val="none" w:sz="0" w:space="0" w:color="auto"/>
                                    <w:bottom w:val="none" w:sz="0" w:space="0" w:color="auto"/>
                                    <w:right w:val="none" w:sz="0" w:space="0" w:color="auto"/>
                                  </w:divBdr>
                                  <w:divsChild>
                                    <w:div w:id="1746609112">
                                      <w:marLeft w:val="0"/>
                                      <w:marRight w:val="0"/>
                                      <w:marTop w:val="0"/>
                                      <w:marBottom w:val="0"/>
                                      <w:divBdr>
                                        <w:top w:val="none" w:sz="0" w:space="0" w:color="auto"/>
                                        <w:left w:val="none" w:sz="0" w:space="0" w:color="auto"/>
                                        <w:bottom w:val="none" w:sz="0" w:space="0" w:color="auto"/>
                                        <w:right w:val="none" w:sz="0" w:space="0" w:color="auto"/>
                                      </w:divBdr>
                                      <w:divsChild>
                                        <w:div w:id="516235856">
                                          <w:marLeft w:val="0"/>
                                          <w:marRight w:val="0"/>
                                          <w:marTop w:val="0"/>
                                          <w:marBottom w:val="0"/>
                                          <w:divBdr>
                                            <w:top w:val="none" w:sz="0" w:space="0" w:color="auto"/>
                                            <w:left w:val="none" w:sz="0" w:space="0" w:color="auto"/>
                                            <w:bottom w:val="none" w:sz="0" w:space="0" w:color="auto"/>
                                            <w:right w:val="none" w:sz="0" w:space="0" w:color="auto"/>
                                          </w:divBdr>
                                          <w:divsChild>
                                            <w:div w:id="1945921494">
                                              <w:marLeft w:val="0"/>
                                              <w:marRight w:val="0"/>
                                              <w:marTop w:val="0"/>
                                              <w:marBottom w:val="0"/>
                                              <w:divBdr>
                                                <w:top w:val="single" w:sz="12" w:space="2" w:color="FFFFCC"/>
                                                <w:left w:val="single" w:sz="12" w:space="2" w:color="FFFFCC"/>
                                                <w:bottom w:val="single" w:sz="12" w:space="2" w:color="FFFFCC"/>
                                                <w:right w:val="single" w:sz="12" w:space="0" w:color="FFFFCC"/>
                                              </w:divBdr>
                                              <w:divsChild>
                                                <w:div w:id="189224635">
                                                  <w:marLeft w:val="0"/>
                                                  <w:marRight w:val="0"/>
                                                  <w:marTop w:val="0"/>
                                                  <w:marBottom w:val="0"/>
                                                  <w:divBdr>
                                                    <w:top w:val="none" w:sz="0" w:space="0" w:color="auto"/>
                                                    <w:left w:val="none" w:sz="0" w:space="0" w:color="auto"/>
                                                    <w:bottom w:val="none" w:sz="0" w:space="0" w:color="auto"/>
                                                    <w:right w:val="none" w:sz="0" w:space="0" w:color="auto"/>
                                                  </w:divBdr>
                                                  <w:divsChild>
                                                    <w:div w:id="583612433">
                                                      <w:marLeft w:val="0"/>
                                                      <w:marRight w:val="0"/>
                                                      <w:marTop w:val="0"/>
                                                      <w:marBottom w:val="0"/>
                                                      <w:divBdr>
                                                        <w:top w:val="none" w:sz="0" w:space="0" w:color="auto"/>
                                                        <w:left w:val="none" w:sz="0" w:space="0" w:color="auto"/>
                                                        <w:bottom w:val="none" w:sz="0" w:space="0" w:color="auto"/>
                                                        <w:right w:val="none" w:sz="0" w:space="0" w:color="auto"/>
                                                      </w:divBdr>
                                                      <w:divsChild>
                                                        <w:div w:id="140850010">
                                                          <w:marLeft w:val="0"/>
                                                          <w:marRight w:val="0"/>
                                                          <w:marTop w:val="0"/>
                                                          <w:marBottom w:val="0"/>
                                                          <w:divBdr>
                                                            <w:top w:val="none" w:sz="0" w:space="0" w:color="auto"/>
                                                            <w:left w:val="none" w:sz="0" w:space="0" w:color="auto"/>
                                                            <w:bottom w:val="none" w:sz="0" w:space="0" w:color="auto"/>
                                                            <w:right w:val="none" w:sz="0" w:space="0" w:color="auto"/>
                                                          </w:divBdr>
                                                          <w:divsChild>
                                                            <w:div w:id="1069688955">
                                                              <w:marLeft w:val="0"/>
                                                              <w:marRight w:val="0"/>
                                                              <w:marTop w:val="0"/>
                                                              <w:marBottom w:val="0"/>
                                                              <w:divBdr>
                                                                <w:top w:val="none" w:sz="0" w:space="0" w:color="auto"/>
                                                                <w:left w:val="none" w:sz="0" w:space="0" w:color="auto"/>
                                                                <w:bottom w:val="none" w:sz="0" w:space="0" w:color="auto"/>
                                                                <w:right w:val="none" w:sz="0" w:space="0" w:color="auto"/>
                                                              </w:divBdr>
                                                              <w:divsChild>
                                                                <w:div w:id="34280538">
                                                                  <w:marLeft w:val="0"/>
                                                                  <w:marRight w:val="0"/>
                                                                  <w:marTop w:val="0"/>
                                                                  <w:marBottom w:val="0"/>
                                                                  <w:divBdr>
                                                                    <w:top w:val="none" w:sz="0" w:space="0" w:color="auto"/>
                                                                    <w:left w:val="none" w:sz="0" w:space="0" w:color="auto"/>
                                                                    <w:bottom w:val="none" w:sz="0" w:space="0" w:color="auto"/>
                                                                    <w:right w:val="none" w:sz="0" w:space="0" w:color="auto"/>
                                                                  </w:divBdr>
                                                                  <w:divsChild>
                                                                    <w:div w:id="1673683190">
                                                                      <w:marLeft w:val="0"/>
                                                                      <w:marRight w:val="0"/>
                                                                      <w:marTop w:val="0"/>
                                                                      <w:marBottom w:val="0"/>
                                                                      <w:divBdr>
                                                                        <w:top w:val="none" w:sz="0" w:space="0" w:color="auto"/>
                                                                        <w:left w:val="none" w:sz="0" w:space="0" w:color="auto"/>
                                                                        <w:bottom w:val="none" w:sz="0" w:space="0" w:color="auto"/>
                                                                        <w:right w:val="none" w:sz="0" w:space="0" w:color="auto"/>
                                                                      </w:divBdr>
                                                                      <w:divsChild>
                                                                        <w:div w:id="611405068">
                                                                          <w:marLeft w:val="0"/>
                                                                          <w:marRight w:val="0"/>
                                                                          <w:marTop w:val="0"/>
                                                                          <w:marBottom w:val="0"/>
                                                                          <w:divBdr>
                                                                            <w:top w:val="none" w:sz="0" w:space="0" w:color="auto"/>
                                                                            <w:left w:val="none" w:sz="0" w:space="0" w:color="auto"/>
                                                                            <w:bottom w:val="none" w:sz="0" w:space="0" w:color="auto"/>
                                                                            <w:right w:val="none" w:sz="0" w:space="0" w:color="auto"/>
                                                                          </w:divBdr>
                                                                          <w:divsChild>
                                                                            <w:div w:id="1888838384">
                                                                              <w:marLeft w:val="0"/>
                                                                              <w:marRight w:val="0"/>
                                                                              <w:marTop w:val="0"/>
                                                                              <w:marBottom w:val="0"/>
                                                                              <w:divBdr>
                                                                                <w:top w:val="none" w:sz="0" w:space="0" w:color="auto"/>
                                                                                <w:left w:val="none" w:sz="0" w:space="0" w:color="auto"/>
                                                                                <w:bottom w:val="none" w:sz="0" w:space="0" w:color="auto"/>
                                                                                <w:right w:val="none" w:sz="0" w:space="0" w:color="auto"/>
                                                                              </w:divBdr>
                                                                              <w:divsChild>
                                                                                <w:div w:id="877468567">
                                                                                  <w:marLeft w:val="0"/>
                                                                                  <w:marRight w:val="0"/>
                                                                                  <w:marTop w:val="0"/>
                                                                                  <w:marBottom w:val="0"/>
                                                                                  <w:divBdr>
                                                                                    <w:top w:val="none" w:sz="0" w:space="0" w:color="auto"/>
                                                                                    <w:left w:val="none" w:sz="0" w:space="0" w:color="auto"/>
                                                                                    <w:bottom w:val="none" w:sz="0" w:space="0" w:color="auto"/>
                                                                                    <w:right w:val="none" w:sz="0" w:space="0" w:color="auto"/>
                                                                                  </w:divBdr>
                                                                                  <w:divsChild>
                                                                                    <w:div w:id="1807815669">
                                                                                      <w:marLeft w:val="0"/>
                                                                                      <w:marRight w:val="0"/>
                                                                                      <w:marTop w:val="0"/>
                                                                                      <w:marBottom w:val="0"/>
                                                                                      <w:divBdr>
                                                                                        <w:top w:val="none" w:sz="0" w:space="0" w:color="auto"/>
                                                                                        <w:left w:val="none" w:sz="0" w:space="0" w:color="auto"/>
                                                                                        <w:bottom w:val="none" w:sz="0" w:space="0" w:color="auto"/>
                                                                                        <w:right w:val="none" w:sz="0" w:space="0" w:color="auto"/>
                                                                                      </w:divBdr>
                                                                                      <w:divsChild>
                                                                                        <w:div w:id="536703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292708">
                                                                                              <w:marLeft w:val="0"/>
                                                                                              <w:marRight w:val="0"/>
                                                                                              <w:marTop w:val="0"/>
                                                                                              <w:marBottom w:val="0"/>
                                                                                              <w:divBdr>
                                                                                                <w:top w:val="none" w:sz="0" w:space="0" w:color="auto"/>
                                                                                                <w:left w:val="none" w:sz="0" w:space="0" w:color="auto"/>
                                                                                                <w:bottom w:val="none" w:sz="0" w:space="0" w:color="auto"/>
                                                                                                <w:right w:val="none" w:sz="0" w:space="0" w:color="auto"/>
                                                                                              </w:divBdr>
                                                                                              <w:divsChild>
                                                                                                <w:div w:id="230118191">
                                                                                                  <w:marLeft w:val="0"/>
                                                                                                  <w:marRight w:val="0"/>
                                                                                                  <w:marTop w:val="0"/>
                                                                                                  <w:marBottom w:val="0"/>
                                                                                                  <w:divBdr>
                                                                                                    <w:top w:val="none" w:sz="0" w:space="0" w:color="auto"/>
                                                                                                    <w:left w:val="none" w:sz="0" w:space="0" w:color="auto"/>
                                                                                                    <w:bottom w:val="none" w:sz="0" w:space="0" w:color="auto"/>
                                                                                                    <w:right w:val="none" w:sz="0" w:space="0" w:color="auto"/>
                                                                                                  </w:divBdr>
                                                                                                  <w:divsChild>
                                                                                                    <w:div w:id="389613579">
                                                                                                      <w:marLeft w:val="0"/>
                                                                                                      <w:marRight w:val="0"/>
                                                                                                      <w:marTop w:val="0"/>
                                                                                                      <w:marBottom w:val="0"/>
                                                                                                      <w:divBdr>
                                                                                                        <w:top w:val="none" w:sz="0" w:space="0" w:color="auto"/>
                                                                                                        <w:left w:val="none" w:sz="0" w:space="0" w:color="auto"/>
                                                                                                        <w:bottom w:val="none" w:sz="0" w:space="0" w:color="auto"/>
                                                                                                        <w:right w:val="none" w:sz="0" w:space="0" w:color="auto"/>
                                                                                                      </w:divBdr>
                                                                                                      <w:divsChild>
                                                                                                        <w:div w:id="168762754">
                                                                                                          <w:marLeft w:val="0"/>
                                                                                                          <w:marRight w:val="0"/>
                                                                                                          <w:marTop w:val="0"/>
                                                                                                          <w:marBottom w:val="0"/>
                                                                                                          <w:divBdr>
                                                                                                            <w:top w:val="none" w:sz="0" w:space="0" w:color="auto"/>
                                                                                                            <w:left w:val="none" w:sz="0" w:space="0" w:color="auto"/>
                                                                                                            <w:bottom w:val="none" w:sz="0" w:space="0" w:color="auto"/>
                                                                                                            <w:right w:val="none" w:sz="0" w:space="0" w:color="auto"/>
                                                                                                          </w:divBdr>
                                                                                                          <w:divsChild>
                                                                                                            <w:div w:id="533928655">
                                                                                                              <w:marLeft w:val="0"/>
                                                                                                              <w:marRight w:val="0"/>
                                                                                                              <w:marTop w:val="0"/>
                                                                                                              <w:marBottom w:val="0"/>
                                                                                                              <w:divBdr>
                                                                                                                <w:top w:val="none" w:sz="0" w:space="0" w:color="auto"/>
                                                                                                                <w:left w:val="none" w:sz="0" w:space="0" w:color="auto"/>
                                                                                                                <w:bottom w:val="none" w:sz="0" w:space="0" w:color="auto"/>
                                                                                                                <w:right w:val="none" w:sz="0" w:space="0" w:color="auto"/>
                                                                                                              </w:divBdr>
                                                                                                              <w:divsChild>
                                                                                                                <w:div w:id="1950430409">
                                                                                                                  <w:marLeft w:val="0"/>
                                                                                                                  <w:marRight w:val="0"/>
                                                                                                                  <w:marTop w:val="0"/>
                                                                                                                  <w:marBottom w:val="0"/>
                                                                                                                  <w:divBdr>
                                                                                                                    <w:top w:val="single" w:sz="2" w:space="4" w:color="D8D8D8"/>
                                                                                                                    <w:left w:val="single" w:sz="2" w:space="0" w:color="D8D8D8"/>
                                                                                                                    <w:bottom w:val="single" w:sz="2" w:space="4" w:color="D8D8D8"/>
                                                                                                                    <w:right w:val="single" w:sz="2" w:space="0" w:color="D8D8D8"/>
                                                                                                                  </w:divBdr>
                                                                                                                  <w:divsChild>
                                                                                                                    <w:div w:id="501622706">
                                                                                                                      <w:marLeft w:val="225"/>
                                                                                                                      <w:marRight w:val="225"/>
                                                                                                                      <w:marTop w:val="75"/>
                                                                                                                      <w:marBottom w:val="75"/>
                                                                                                                      <w:divBdr>
                                                                                                                        <w:top w:val="none" w:sz="0" w:space="0" w:color="auto"/>
                                                                                                                        <w:left w:val="none" w:sz="0" w:space="0" w:color="auto"/>
                                                                                                                        <w:bottom w:val="none" w:sz="0" w:space="0" w:color="auto"/>
                                                                                                                        <w:right w:val="none" w:sz="0" w:space="0" w:color="auto"/>
                                                                                                                      </w:divBdr>
                                                                                                                      <w:divsChild>
                                                                                                                        <w:div w:id="384722568">
                                                                                                                          <w:marLeft w:val="0"/>
                                                                                                                          <w:marRight w:val="0"/>
                                                                                                                          <w:marTop w:val="0"/>
                                                                                                                          <w:marBottom w:val="0"/>
                                                                                                                          <w:divBdr>
                                                                                                                            <w:top w:val="single" w:sz="6" w:space="0" w:color="auto"/>
                                                                                                                            <w:left w:val="single" w:sz="6" w:space="0" w:color="auto"/>
                                                                                                                            <w:bottom w:val="single" w:sz="6" w:space="0" w:color="auto"/>
                                                                                                                            <w:right w:val="single" w:sz="6" w:space="0" w:color="auto"/>
                                                                                                                          </w:divBdr>
                                                                                                                          <w:divsChild>
                                                                                                                            <w:div w:id="708458994">
                                                                                                                              <w:marLeft w:val="0"/>
                                                                                                                              <w:marRight w:val="0"/>
                                                                                                                              <w:marTop w:val="0"/>
                                                                                                                              <w:marBottom w:val="0"/>
                                                                                                                              <w:divBdr>
                                                                                                                                <w:top w:val="none" w:sz="0" w:space="0" w:color="auto"/>
                                                                                                                                <w:left w:val="none" w:sz="0" w:space="0" w:color="auto"/>
                                                                                                                                <w:bottom w:val="none" w:sz="0" w:space="0" w:color="auto"/>
                                                                                                                                <w:right w:val="none" w:sz="0" w:space="0" w:color="auto"/>
                                                                                                                              </w:divBdr>
                                                                                                                              <w:divsChild>
                                                                                                                                <w:div w:id="72900308">
                                                                                                                                  <w:marLeft w:val="0"/>
                                                                                                                                  <w:marRight w:val="0"/>
                                                                                                                                  <w:marTop w:val="0"/>
                                                                                                                                  <w:marBottom w:val="0"/>
                                                                                                                                  <w:divBdr>
                                                                                                                                    <w:top w:val="none" w:sz="0" w:space="0" w:color="auto"/>
                                                                                                                                    <w:left w:val="none" w:sz="0" w:space="0" w:color="auto"/>
                                                                                                                                    <w:bottom w:val="none" w:sz="0" w:space="0" w:color="auto"/>
                                                                                                                                    <w:right w:val="none" w:sz="0" w:space="0" w:color="auto"/>
                                                                                                                                  </w:divBdr>
                                                                                                                                </w:div>
                                                                                                                                <w:div w:id="453640758">
                                                                                                                                  <w:marLeft w:val="0"/>
                                                                                                                                  <w:marRight w:val="0"/>
                                                                                                                                  <w:marTop w:val="0"/>
                                                                                                                                  <w:marBottom w:val="0"/>
                                                                                                                                  <w:divBdr>
                                                                                                                                    <w:top w:val="none" w:sz="0" w:space="0" w:color="auto"/>
                                                                                                                                    <w:left w:val="none" w:sz="0" w:space="0" w:color="auto"/>
                                                                                                                                    <w:bottom w:val="none" w:sz="0" w:space="0" w:color="auto"/>
                                                                                                                                    <w:right w:val="none" w:sz="0" w:space="0" w:color="auto"/>
                                                                                                                                  </w:divBdr>
                                                                                                                                </w:div>
                                                                                                                                <w:div w:id="700397265">
                                                                                                                                  <w:marLeft w:val="0"/>
                                                                                                                                  <w:marRight w:val="0"/>
                                                                                                                                  <w:marTop w:val="0"/>
                                                                                                                                  <w:marBottom w:val="0"/>
                                                                                                                                  <w:divBdr>
                                                                                                                                    <w:top w:val="none" w:sz="0" w:space="0" w:color="auto"/>
                                                                                                                                    <w:left w:val="none" w:sz="0" w:space="0" w:color="auto"/>
                                                                                                                                    <w:bottom w:val="none" w:sz="0" w:space="0" w:color="auto"/>
                                                                                                                                    <w:right w:val="none" w:sz="0" w:space="0" w:color="auto"/>
                                                                                                                                  </w:divBdr>
                                                                                                                                </w:div>
                                                                                                                                <w:div w:id="1833063406">
                                                                                                                                  <w:marLeft w:val="0"/>
                                                                                                                                  <w:marRight w:val="0"/>
                                                                                                                                  <w:marTop w:val="0"/>
                                                                                                                                  <w:marBottom w:val="0"/>
                                                                                                                                  <w:divBdr>
                                                                                                                                    <w:top w:val="none" w:sz="0" w:space="0" w:color="auto"/>
                                                                                                                                    <w:left w:val="none" w:sz="0" w:space="0" w:color="auto"/>
                                                                                                                                    <w:bottom w:val="none" w:sz="0" w:space="0" w:color="auto"/>
                                                                                                                                    <w:right w:val="none" w:sz="0" w:space="0" w:color="auto"/>
                                                                                                                                  </w:divBdr>
                                                                                                                                </w:div>
                                                                                                                                <w:div w:id="20891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16450">
      <w:bodyDiv w:val="1"/>
      <w:marLeft w:val="0"/>
      <w:marRight w:val="0"/>
      <w:marTop w:val="0"/>
      <w:marBottom w:val="0"/>
      <w:divBdr>
        <w:top w:val="none" w:sz="0" w:space="0" w:color="auto"/>
        <w:left w:val="none" w:sz="0" w:space="0" w:color="auto"/>
        <w:bottom w:val="none" w:sz="0" w:space="0" w:color="auto"/>
        <w:right w:val="none" w:sz="0" w:space="0" w:color="auto"/>
      </w:divBdr>
    </w:div>
    <w:div w:id="1774351285">
      <w:bodyDiv w:val="1"/>
      <w:marLeft w:val="0"/>
      <w:marRight w:val="0"/>
      <w:marTop w:val="0"/>
      <w:marBottom w:val="0"/>
      <w:divBdr>
        <w:top w:val="none" w:sz="0" w:space="0" w:color="auto"/>
        <w:left w:val="none" w:sz="0" w:space="0" w:color="auto"/>
        <w:bottom w:val="none" w:sz="0" w:space="0" w:color="auto"/>
        <w:right w:val="none" w:sz="0" w:space="0" w:color="auto"/>
      </w:divBdr>
    </w:div>
    <w:div w:id="1929774637">
      <w:bodyDiv w:val="1"/>
      <w:marLeft w:val="0"/>
      <w:marRight w:val="0"/>
      <w:marTop w:val="0"/>
      <w:marBottom w:val="0"/>
      <w:divBdr>
        <w:top w:val="none" w:sz="0" w:space="0" w:color="auto"/>
        <w:left w:val="none" w:sz="0" w:space="0" w:color="auto"/>
        <w:bottom w:val="none" w:sz="0" w:space="0" w:color="auto"/>
        <w:right w:val="none" w:sz="0" w:space="0" w:color="auto"/>
      </w:divBdr>
      <w:divsChild>
        <w:div w:id="626203996">
          <w:marLeft w:val="0"/>
          <w:marRight w:val="0"/>
          <w:marTop w:val="0"/>
          <w:marBottom w:val="0"/>
          <w:divBdr>
            <w:top w:val="none" w:sz="0" w:space="0" w:color="auto"/>
            <w:left w:val="none" w:sz="0" w:space="0" w:color="auto"/>
            <w:bottom w:val="none" w:sz="0" w:space="0" w:color="auto"/>
            <w:right w:val="none" w:sz="0" w:space="0" w:color="auto"/>
          </w:divBdr>
          <w:divsChild>
            <w:div w:id="178081024">
              <w:marLeft w:val="0"/>
              <w:marRight w:val="0"/>
              <w:marTop w:val="0"/>
              <w:marBottom w:val="0"/>
              <w:divBdr>
                <w:top w:val="none" w:sz="0" w:space="0" w:color="auto"/>
                <w:left w:val="none" w:sz="0" w:space="0" w:color="auto"/>
                <w:bottom w:val="none" w:sz="0" w:space="0" w:color="auto"/>
                <w:right w:val="none" w:sz="0" w:space="0" w:color="auto"/>
              </w:divBdr>
              <w:divsChild>
                <w:div w:id="1942910174">
                  <w:marLeft w:val="0"/>
                  <w:marRight w:val="0"/>
                  <w:marTop w:val="0"/>
                  <w:marBottom w:val="0"/>
                  <w:divBdr>
                    <w:top w:val="none" w:sz="0" w:space="0" w:color="auto"/>
                    <w:left w:val="none" w:sz="0" w:space="0" w:color="auto"/>
                    <w:bottom w:val="none" w:sz="0" w:space="0" w:color="auto"/>
                    <w:right w:val="none" w:sz="0" w:space="0" w:color="auto"/>
                  </w:divBdr>
                  <w:divsChild>
                    <w:div w:id="889683606">
                      <w:marLeft w:val="0"/>
                      <w:marRight w:val="0"/>
                      <w:marTop w:val="0"/>
                      <w:marBottom w:val="0"/>
                      <w:divBdr>
                        <w:top w:val="none" w:sz="0" w:space="0" w:color="auto"/>
                        <w:left w:val="none" w:sz="0" w:space="0" w:color="auto"/>
                        <w:bottom w:val="none" w:sz="0" w:space="0" w:color="auto"/>
                        <w:right w:val="none" w:sz="0" w:space="0" w:color="auto"/>
                      </w:divBdr>
                      <w:divsChild>
                        <w:div w:id="175971775">
                          <w:marLeft w:val="0"/>
                          <w:marRight w:val="0"/>
                          <w:marTop w:val="0"/>
                          <w:marBottom w:val="0"/>
                          <w:divBdr>
                            <w:top w:val="none" w:sz="0" w:space="0" w:color="auto"/>
                            <w:left w:val="none" w:sz="0" w:space="0" w:color="auto"/>
                            <w:bottom w:val="none" w:sz="0" w:space="0" w:color="auto"/>
                            <w:right w:val="none" w:sz="0" w:space="0" w:color="auto"/>
                          </w:divBdr>
                          <w:divsChild>
                            <w:div w:id="79180367">
                              <w:marLeft w:val="0"/>
                              <w:marRight w:val="0"/>
                              <w:marTop w:val="0"/>
                              <w:marBottom w:val="0"/>
                              <w:divBdr>
                                <w:top w:val="none" w:sz="0" w:space="0" w:color="auto"/>
                                <w:left w:val="none" w:sz="0" w:space="0" w:color="auto"/>
                                <w:bottom w:val="none" w:sz="0" w:space="0" w:color="auto"/>
                                <w:right w:val="none" w:sz="0" w:space="0" w:color="auto"/>
                              </w:divBdr>
                              <w:divsChild>
                                <w:div w:id="529269503">
                                  <w:marLeft w:val="0"/>
                                  <w:marRight w:val="0"/>
                                  <w:marTop w:val="0"/>
                                  <w:marBottom w:val="0"/>
                                  <w:divBdr>
                                    <w:top w:val="none" w:sz="0" w:space="0" w:color="auto"/>
                                    <w:left w:val="none" w:sz="0" w:space="0" w:color="auto"/>
                                    <w:bottom w:val="none" w:sz="0" w:space="0" w:color="auto"/>
                                    <w:right w:val="none" w:sz="0" w:space="0" w:color="auto"/>
                                  </w:divBdr>
                                  <w:divsChild>
                                    <w:div w:id="1908030599">
                                      <w:marLeft w:val="0"/>
                                      <w:marRight w:val="0"/>
                                      <w:marTop w:val="0"/>
                                      <w:marBottom w:val="0"/>
                                      <w:divBdr>
                                        <w:top w:val="none" w:sz="0" w:space="0" w:color="auto"/>
                                        <w:left w:val="none" w:sz="0" w:space="0" w:color="auto"/>
                                        <w:bottom w:val="none" w:sz="0" w:space="0" w:color="auto"/>
                                        <w:right w:val="none" w:sz="0" w:space="0" w:color="auto"/>
                                      </w:divBdr>
                                      <w:divsChild>
                                        <w:div w:id="232935699">
                                          <w:marLeft w:val="0"/>
                                          <w:marRight w:val="0"/>
                                          <w:marTop w:val="0"/>
                                          <w:marBottom w:val="0"/>
                                          <w:divBdr>
                                            <w:top w:val="none" w:sz="0" w:space="0" w:color="auto"/>
                                            <w:left w:val="none" w:sz="0" w:space="0" w:color="auto"/>
                                            <w:bottom w:val="none" w:sz="0" w:space="0" w:color="auto"/>
                                            <w:right w:val="none" w:sz="0" w:space="0" w:color="auto"/>
                                          </w:divBdr>
                                          <w:divsChild>
                                            <w:div w:id="157118495">
                                              <w:marLeft w:val="0"/>
                                              <w:marRight w:val="0"/>
                                              <w:marTop w:val="0"/>
                                              <w:marBottom w:val="0"/>
                                              <w:divBdr>
                                                <w:top w:val="single" w:sz="12" w:space="2" w:color="FFFFCC"/>
                                                <w:left w:val="single" w:sz="12" w:space="2" w:color="FFFFCC"/>
                                                <w:bottom w:val="single" w:sz="12" w:space="2" w:color="FFFFCC"/>
                                                <w:right w:val="single" w:sz="12" w:space="0" w:color="FFFFCC"/>
                                              </w:divBdr>
                                              <w:divsChild>
                                                <w:div w:id="616831391">
                                                  <w:marLeft w:val="0"/>
                                                  <w:marRight w:val="0"/>
                                                  <w:marTop w:val="0"/>
                                                  <w:marBottom w:val="0"/>
                                                  <w:divBdr>
                                                    <w:top w:val="none" w:sz="0" w:space="0" w:color="auto"/>
                                                    <w:left w:val="none" w:sz="0" w:space="0" w:color="auto"/>
                                                    <w:bottom w:val="none" w:sz="0" w:space="0" w:color="auto"/>
                                                    <w:right w:val="none" w:sz="0" w:space="0" w:color="auto"/>
                                                  </w:divBdr>
                                                  <w:divsChild>
                                                    <w:div w:id="849490341">
                                                      <w:marLeft w:val="0"/>
                                                      <w:marRight w:val="0"/>
                                                      <w:marTop w:val="0"/>
                                                      <w:marBottom w:val="0"/>
                                                      <w:divBdr>
                                                        <w:top w:val="none" w:sz="0" w:space="0" w:color="auto"/>
                                                        <w:left w:val="none" w:sz="0" w:space="0" w:color="auto"/>
                                                        <w:bottom w:val="none" w:sz="0" w:space="0" w:color="auto"/>
                                                        <w:right w:val="none" w:sz="0" w:space="0" w:color="auto"/>
                                                      </w:divBdr>
                                                      <w:divsChild>
                                                        <w:div w:id="770390562">
                                                          <w:marLeft w:val="0"/>
                                                          <w:marRight w:val="0"/>
                                                          <w:marTop w:val="0"/>
                                                          <w:marBottom w:val="0"/>
                                                          <w:divBdr>
                                                            <w:top w:val="none" w:sz="0" w:space="0" w:color="auto"/>
                                                            <w:left w:val="none" w:sz="0" w:space="0" w:color="auto"/>
                                                            <w:bottom w:val="none" w:sz="0" w:space="0" w:color="auto"/>
                                                            <w:right w:val="none" w:sz="0" w:space="0" w:color="auto"/>
                                                          </w:divBdr>
                                                          <w:divsChild>
                                                            <w:div w:id="1915243156">
                                                              <w:marLeft w:val="0"/>
                                                              <w:marRight w:val="0"/>
                                                              <w:marTop w:val="0"/>
                                                              <w:marBottom w:val="0"/>
                                                              <w:divBdr>
                                                                <w:top w:val="none" w:sz="0" w:space="0" w:color="auto"/>
                                                                <w:left w:val="none" w:sz="0" w:space="0" w:color="auto"/>
                                                                <w:bottom w:val="none" w:sz="0" w:space="0" w:color="auto"/>
                                                                <w:right w:val="none" w:sz="0" w:space="0" w:color="auto"/>
                                                              </w:divBdr>
                                                              <w:divsChild>
                                                                <w:div w:id="1362976878">
                                                                  <w:marLeft w:val="0"/>
                                                                  <w:marRight w:val="0"/>
                                                                  <w:marTop w:val="0"/>
                                                                  <w:marBottom w:val="0"/>
                                                                  <w:divBdr>
                                                                    <w:top w:val="none" w:sz="0" w:space="0" w:color="auto"/>
                                                                    <w:left w:val="none" w:sz="0" w:space="0" w:color="auto"/>
                                                                    <w:bottom w:val="none" w:sz="0" w:space="0" w:color="auto"/>
                                                                    <w:right w:val="none" w:sz="0" w:space="0" w:color="auto"/>
                                                                  </w:divBdr>
                                                                  <w:divsChild>
                                                                    <w:div w:id="970287987">
                                                                      <w:marLeft w:val="0"/>
                                                                      <w:marRight w:val="0"/>
                                                                      <w:marTop w:val="0"/>
                                                                      <w:marBottom w:val="0"/>
                                                                      <w:divBdr>
                                                                        <w:top w:val="none" w:sz="0" w:space="0" w:color="auto"/>
                                                                        <w:left w:val="none" w:sz="0" w:space="0" w:color="auto"/>
                                                                        <w:bottom w:val="none" w:sz="0" w:space="0" w:color="auto"/>
                                                                        <w:right w:val="none" w:sz="0" w:space="0" w:color="auto"/>
                                                                      </w:divBdr>
                                                                      <w:divsChild>
                                                                        <w:div w:id="1215965522">
                                                                          <w:marLeft w:val="0"/>
                                                                          <w:marRight w:val="0"/>
                                                                          <w:marTop w:val="0"/>
                                                                          <w:marBottom w:val="0"/>
                                                                          <w:divBdr>
                                                                            <w:top w:val="none" w:sz="0" w:space="0" w:color="auto"/>
                                                                            <w:left w:val="none" w:sz="0" w:space="0" w:color="auto"/>
                                                                            <w:bottom w:val="none" w:sz="0" w:space="0" w:color="auto"/>
                                                                            <w:right w:val="none" w:sz="0" w:space="0" w:color="auto"/>
                                                                          </w:divBdr>
                                                                          <w:divsChild>
                                                                            <w:div w:id="1996566416">
                                                                              <w:marLeft w:val="0"/>
                                                                              <w:marRight w:val="0"/>
                                                                              <w:marTop w:val="0"/>
                                                                              <w:marBottom w:val="0"/>
                                                                              <w:divBdr>
                                                                                <w:top w:val="none" w:sz="0" w:space="0" w:color="auto"/>
                                                                                <w:left w:val="none" w:sz="0" w:space="0" w:color="auto"/>
                                                                                <w:bottom w:val="none" w:sz="0" w:space="0" w:color="auto"/>
                                                                                <w:right w:val="none" w:sz="0" w:space="0" w:color="auto"/>
                                                                              </w:divBdr>
                                                                              <w:divsChild>
                                                                                <w:div w:id="2111776417">
                                                                                  <w:marLeft w:val="0"/>
                                                                                  <w:marRight w:val="0"/>
                                                                                  <w:marTop w:val="0"/>
                                                                                  <w:marBottom w:val="0"/>
                                                                                  <w:divBdr>
                                                                                    <w:top w:val="none" w:sz="0" w:space="0" w:color="auto"/>
                                                                                    <w:left w:val="none" w:sz="0" w:space="0" w:color="auto"/>
                                                                                    <w:bottom w:val="none" w:sz="0" w:space="0" w:color="auto"/>
                                                                                    <w:right w:val="none" w:sz="0" w:space="0" w:color="auto"/>
                                                                                  </w:divBdr>
                                                                                  <w:divsChild>
                                                                                    <w:div w:id="945160532">
                                                                                      <w:marLeft w:val="0"/>
                                                                                      <w:marRight w:val="0"/>
                                                                                      <w:marTop w:val="0"/>
                                                                                      <w:marBottom w:val="0"/>
                                                                                      <w:divBdr>
                                                                                        <w:top w:val="none" w:sz="0" w:space="0" w:color="auto"/>
                                                                                        <w:left w:val="none" w:sz="0" w:space="0" w:color="auto"/>
                                                                                        <w:bottom w:val="none" w:sz="0" w:space="0" w:color="auto"/>
                                                                                        <w:right w:val="none" w:sz="0" w:space="0" w:color="auto"/>
                                                                                      </w:divBdr>
                                                                                      <w:divsChild>
                                                                                        <w:div w:id="515851614">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419057">
                                                                                              <w:marLeft w:val="0"/>
                                                                                              <w:marRight w:val="0"/>
                                                                                              <w:marTop w:val="0"/>
                                                                                              <w:marBottom w:val="0"/>
                                                                                              <w:divBdr>
                                                                                                <w:top w:val="none" w:sz="0" w:space="0" w:color="auto"/>
                                                                                                <w:left w:val="none" w:sz="0" w:space="0" w:color="auto"/>
                                                                                                <w:bottom w:val="none" w:sz="0" w:space="0" w:color="auto"/>
                                                                                                <w:right w:val="none" w:sz="0" w:space="0" w:color="auto"/>
                                                                                              </w:divBdr>
                                                                                              <w:divsChild>
                                                                                                <w:div w:id="1234392870">
                                                                                                  <w:marLeft w:val="0"/>
                                                                                                  <w:marRight w:val="0"/>
                                                                                                  <w:marTop w:val="0"/>
                                                                                                  <w:marBottom w:val="0"/>
                                                                                                  <w:divBdr>
                                                                                                    <w:top w:val="none" w:sz="0" w:space="0" w:color="auto"/>
                                                                                                    <w:left w:val="none" w:sz="0" w:space="0" w:color="auto"/>
                                                                                                    <w:bottom w:val="none" w:sz="0" w:space="0" w:color="auto"/>
                                                                                                    <w:right w:val="none" w:sz="0" w:space="0" w:color="auto"/>
                                                                                                  </w:divBdr>
                                                                                                  <w:divsChild>
                                                                                                    <w:div w:id="329604975">
                                                                                                      <w:marLeft w:val="0"/>
                                                                                                      <w:marRight w:val="0"/>
                                                                                                      <w:marTop w:val="0"/>
                                                                                                      <w:marBottom w:val="0"/>
                                                                                                      <w:divBdr>
                                                                                                        <w:top w:val="none" w:sz="0" w:space="0" w:color="auto"/>
                                                                                                        <w:left w:val="none" w:sz="0" w:space="0" w:color="auto"/>
                                                                                                        <w:bottom w:val="none" w:sz="0" w:space="0" w:color="auto"/>
                                                                                                        <w:right w:val="none" w:sz="0" w:space="0" w:color="auto"/>
                                                                                                      </w:divBdr>
                                                                                                      <w:divsChild>
                                                                                                        <w:div w:id="1514761324">
                                                                                                          <w:marLeft w:val="0"/>
                                                                                                          <w:marRight w:val="0"/>
                                                                                                          <w:marTop w:val="0"/>
                                                                                                          <w:marBottom w:val="0"/>
                                                                                                          <w:divBdr>
                                                                                                            <w:top w:val="none" w:sz="0" w:space="0" w:color="auto"/>
                                                                                                            <w:left w:val="none" w:sz="0" w:space="0" w:color="auto"/>
                                                                                                            <w:bottom w:val="none" w:sz="0" w:space="0" w:color="auto"/>
                                                                                                            <w:right w:val="none" w:sz="0" w:space="0" w:color="auto"/>
                                                                                                          </w:divBdr>
                                                                                                          <w:divsChild>
                                                                                                            <w:div w:id="1855880837">
                                                                                                              <w:marLeft w:val="0"/>
                                                                                                              <w:marRight w:val="0"/>
                                                                                                              <w:marTop w:val="0"/>
                                                                                                              <w:marBottom w:val="0"/>
                                                                                                              <w:divBdr>
                                                                                                                <w:top w:val="none" w:sz="0" w:space="0" w:color="auto"/>
                                                                                                                <w:left w:val="none" w:sz="0" w:space="0" w:color="auto"/>
                                                                                                                <w:bottom w:val="none" w:sz="0" w:space="0" w:color="auto"/>
                                                                                                                <w:right w:val="none" w:sz="0" w:space="0" w:color="auto"/>
                                                                                                              </w:divBdr>
                                                                                                              <w:divsChild>
                                                                                                                <w:div w:id="1613586371">
                                                                                                                  <w:marLeft w:val="0"/>
                                                                                                                  <w:marRight w:val="0"/>
                                                                                                                  <w:marTop w:val="0"/>
                                                                                                                  <w:marBottom w:val="0"/>
                                                                                                                  <w:divBdr>
                                                                                                                    <w:top w:val="single" w:sz="2" w:space="4" w:color="D8D8D8"/>
                                                                                                                    <w:left w:val="single" w:sz="2" w:space="0" w:color="D8D8D8"/>
                                                                                                                    <w:bottom w:val="single" w:sz="2" w:space="4" w:color="D8D8D8"/>
                                                                                                                    <w:right w:val="single" w:sz="2" w:space="0" w:color="D8D8D8"/>
                                                                                                                  </w:divBdr>
                                                                                                                  <w:divsChild>
                                                                                                                    <w:div w:id="7756602">
                                                                                                                      <w:marLeft w:val="225"/>
                                                                                                                      <w:marRight w:val="225"/>
                                                                                                                      <w:marTop w:val="75"/>
                                                                                                                      <w:marBottom w:val="75"/>
                                                                                                                      <w:divBdr>
                                                                                                                        <w:top w:val="none" w:sz="0" w:space="0" w:color="auto"/>
                                                                                                                        <w:left w:val="none" w:sz="0" w:space="0" w:color="auto"/>
                                                                                                                        <w:bottom w:val="none" w:sz="0" w:space="0" w:color="auto"/>
                                                                                                                        <w:right w:val="none" w:sz="0" w:space="0" w:color="auto"/>
                                                                                                                      </w:divBdr>
                                                                                                                      <w:divsChild>
                                                                                                                        <w:div w:id="1131094355">
                                                                                                                          <w:marLeft w:val="0"/>
                                                                                                                          <w:marRight w:val="0"/>
                                                                                                                          <w:marTop w:val="0"/>
                                                                                                                          <w:marBottom w:val="0"/>
                                                                                                                          <w:divBdr>
                                                                                                                            <w:top w:val="single" w:sz="6" w:space="0" w:color="auto"/>
                                                                                                                            <w:left w:val="single" w:sz="6" w:space="0" w:color="auto"/>
                                                                                                                            <w:bottom w:val="single" w:sz="6" w:space="0" w:color="auto"/>
                                                                                                                            <w:right w:val="single" w:sz="6" w:space="0" w:color="auto"/>
                                                                                                                          </w:divBdr>
                                                                                                                          <w:divsChild>
                                                                                                                            <w:div w:id="278878953">
                                                                                                                              <w:marLeft w:val="0"/>
                                                                                                                              <w:marRight w:val="0"/>
                                                                                                                              <w:marTop w:val="0"/>
                                                                                                                              <w:marBottom w:val="0"/>
                                                                                                                              <w:divBdr>
                                                                                                                                <w:top w:val="none" w:sz="0" w:space="0" w:color="auto"/>
                                                                                                                                <w:left w:val="none" w:sz="0" w:space="0" w:color="auto"/>
                                                                                                                                <w:bottom w:val="none" w:sz="0" w:space="0" w:color="auto"/>
                                                                                                                                <w:right w:val="none" w:sz="0" w:space="0" w:color="auto"/>
                                                                                                                              </w:divBdr>
                                                                                                                              <w:divsChild>
                                                                                                                                <w:div w:id="210650271">
                                                                                                                                  <w:marLeft w:val="0"/>
                                                                                                                                  <w:marRight w:val="0"/>
                                                                                                                                  <w:marTop w:val="0"/>
                                                                                                                                  <w:marBottom w:val="0"/>
                                                                                                                                  <w:divBdr>
                                                                                                                                    <w:top w:val="none" w:sz="0" w:space="0" w:color="auto"/>
                                                                                                                                    <w:left w:val="none" w:sz="0" w:space="0" w:color="auto"/>
                                                                                                                                    <w:bottom w:val="none" w:sz="0" w:space="0" w:color="auto"/>
                                                                                                                                    <w:right w:val="none" w:sz="0" w:space="0" w:color="auto"/>
                                                                                                                                  </w:divBdr>
                                                                                                                                </w:div>
                                                                                                                                <w:div w:id="627783435">
                                                                                                                                  <w:marLeft w:val="0"/>
                                                                                                                                  <w:marRight w:val="0"/>
                                                                                                                                  <w:marTop w:val="0"/>
                                                                                                                                  <w:marBottom w:val="0"/>
                                                                                                                                  <w:divBdr>
                                                                                                                                    <w:top w:val="none" w:sz="0" w:space="0" w:color="auto"/>
                                                                                                                                    <w:left w:val="none" w:sz="0" w:space="0" w:color="auto"/>
                                                                                                                                    <w:bottom w:val="none" w:sz="0" w:space="0" w:color="auto"/>
                                                                                                                                    <w:right w:val="none" w:sz="0" w:space="0" w:color="auto"/>
                                                                                                                                  </w:divBdr>
                                                                                                                                </w:div>
                                                                                                                                <w:div w:id="704211714">
                                                                                                                                  <w:marLeft w:val="0"/>
                                                                                                                                  <w:marRight w:val="0"/>
                                                                                                                                  <w:marTop w:val="0"/>
                                                                                                                                  <w:marBottom w:val="0"/>
                                                                                                                                  <w:divBdr>
                                                                                                                                    <w:top w:val="none" w:sz="0" w:space="0" w:color="auto"/>
                                                                                                                                    <w:left w:val="none" w:sz="0" w:space="0" w:color="auto"/>
                                                                                                                                    <w:bottom w:val="none" w:sz="0" w:space="0" w:color="auto"/>
                                                                                                                                    <w:right w:val="none" w:sz="0" w:space="0" w:color="auto"/>
                                                                                                                                  </w:divBdr>
                                                                                                                                </w:div>
                                                                                                                                <w:div w:id="1458449932">
                                                                                                                                  <w:marLeft w:val="0"/>
                                                                                                                                  <w:marRight w:val="0"/>
                                                                                                                                  <w:marTop w:val="0"/>
                                                                                                                                  <w:marBottom w:val="0"/>
                                                                                                                                  <w:divBdr>
                                                                                                                                    <w:top w:val="none" w:sz="0" w:space="0" w:color="auto"/>
                                                                                                                                    <w:left w:val="none" w:sz="0" w:space="0" w:color="auto"/>
                                                                                                                                    <w:bottom w:val="none" w:sz="0" w:space="0" w:color="auto"/>
                                                                                                                                    <w:right w:val="none" w:sz="0" w:space="0" w:color="auto"/>
                                                                                                                                  </w:divBdr>
                                                                                                                                </w:div>
                                                                                                                                <w:div w:id="20629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saregion10@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SOCD\Special%20Releases\Special%20Releases\Trade\Domestic%20Trade_SR%20Statistical%20Tables%20-%20First%20Quarter%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OCD\Special%20Releases\Special%20Releases_Trade_Cereal\Trade\Domestic%20Trade_SR%20Statistical%20Tables%20-%20First%20Quarter%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OCD\Special%20Releases\Special%20Releases_Trade_Cereal\Trade\Domestic%20Trade_SR%20Statistical%20Tables%20-%20First%20Quarter%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OCD\Special%20Releases\Special%20Releases\Trade\Domestic%20Trade_SR%20Statistical%20Tables%20-%20First%20Quarter%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OCD\Special%20Releases\Special%20Releases_Trade_Cereal\Trade\Domestic%20Trade_SR%20Statistical%20Tables%20-%20First%20Quarter%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OCD\Special%20Releases\Special%20Releases_Trade_Cereal\Trade\Domestic%20Trade_SR%20Statistical%20Tables%20-%20First%20Quarter%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OCD\Special%20Releases\Special%20Releases_Trade_Cereal\Trade\Domestic%20Trade_SR%20Statistical%20Tables%20-%20First%20Quarter%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OCD\Special%20Releases\Special%20Releases_Trade_Cereal\Trade\Domestic%20Trade_SR%20Statistical%20Tables%20-%20First%20Quarter%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sz="1050"/>
            </a:pPr>
            <a:r>
              <a:rPr lang="en-PH" sz="1000">
                <a:latin typeface="Arial" pitchFamily="34" charset="0"/>
                <a:cs typeface="Arial" pitchFamily="34" charset="0"/>
              </a:rPr>
              <a:t>Figure 1 Quantity of Domestic Trade by Mode of Transport</a:t>
            </a:r>
          </a:p>
          <a:p>
            <a:pPr>
              <a:defRPr lang="en-PH" sz="1050"/>
            </a:pPr>
            <a:r>
              <a:rPr lang="en-PH" sz="1000">
                <a:latin typeface="Arial" pitchFamily="34" charset="0"/>
                <a:cs typeface="Arial" pitchFamily="34" charset="0"/>
              </a:rPr>
              <a:t>First Quarter 2019 and 2018</a:t>
            </a:r>
          </a:p>
        </c:rich>
      </c:tx>
      <c:layout>
        <c:manualLayout>
          <c:xMode val="edge"/>
          <c:yMode val="edge"/>
          <c:x val="0.15647222222222298"/>
          <c:y val="2.7777777777778019E-2"/>
        </c:manualLayout>
      </c:layout>
    </c:title>
    <c:plotArea>
      <c:layout/>
      <c:barChart>
        <c:barDir val="col"/>
        <c:grouping val="clustered"/>
        <c:ser>
          <c:idx val="0"/>
          <c:order val="0"/>
          <c:tx>
            <c:strRef>
              <c:f>'fig 1 final'!$C$2</c:f>
              <c:strCache>
                <c:ptCount val="1"/>
                <c:pt idx="0">
                  <c:v>First Quarter 2019</c:v>
                </c:pt>
              </c:strCache>
            </c:strRef>
          </c:tx>
          <c:dPt>
            <c:idx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Lbls>
            <c:dLbl>
              <c:idx val="0"/>
              <c:layout/>
              <c:tx>
                <c:rich>
                  <a:bodyPr/>
                  <a:lstStyle/>
                  <a:p>
                    <a:r>
                      <a:rPr lang="en-US"/>
                      <a:t>1.59 </a:t>
                    </a:r>
                  </a:p>
                </c:rich>
              </c:tx>
              <c:dLblPos val="outEnd"/>
              <c:showVal val="1"/>
            </c:dLbl>
            <c:dLbl>
              <c:idx val="1"/>
              <c:layout/>
              <c:tx>
                <c:rich>
                  <a:bodyPr/>
                  <a:lstStyle/>
                  <a:p>
                    <a:r>
                      <a:rPr lang="en-US"/>
                      <a:t>1.59</a:t>
                    </a:r>
                  </a:p>
                </c:rich>
              </c:tx>
              <c:dLblPos val="outEnd"/>
              <c:showVal val="1"/>
            </c:dLbl>
            <c:dLbl>
              <c:idx val="2"/>
              <c:layout/>
              <c:tx>
                <c:rich>
                  <a:bodyPr/>
                  <a:lstStyle/>
                  <a:p>
                    <a:r>
                      <a:rPr lang="en-US"/>
                      <a:t>0.00042</a:t>
                    </a:r>
                  </a:p>
                </c:rich>
              </c:tx>
              <c:dLblPos val="outEnd"/>
              <c:showVal val="1"/>
            </c:dLbl>
            <c:txPr>
              <a:bodyPr/>
              <a:lstStyle/>
              <a:p>
                <a:pPr>
                  <a:defRPr lang="en-PH" sz="800">
                    <a:latin typeface="Arial" pitchFamily="34" charset="0"/>
                    <a:cs typeface="Arial" pitchFamily="34" charset="0"/>
                  </a:defRPr>
                </a:pPr>
                <a:endParaRPr lang="en-US"/>
              </a:p>
            </c:txPr>
            <c:dLblPos val="outEnd"/>
            <c:showVal val="1"/>
          </c:dLbls>
          <c:cat>
            <c:strRef>
              <c:f>'fig 1 final'!$B$3:$B$5</c:f>
              <c:strCache>
                <c:ptCount val="3"/>
                <c:pt idx="0">
                  <c:v>Total</c:v>
                </c:pt>
                <c:pt idx="1">
                  <c:v>Water</c:v>
                </c:pt>
                <c:pt idx="2">
                  <c:v>Air</c:v>
                </c:pt>
              </c:strCache>
            </c:strRef>
          </c:cat>
          <c:val>
            <c:numRef>
              <c:f>'fig 1 final'!$C$3:$C$5</c:f>
              <c:numCache>
                <c:formatCode>#,##0</c:formatCode>
                <c:ptCount val="3"/>
                <c:pt idx="0" formatCode="#,##0_);\(#,##0\)">
                  <c:v>1591564</c:v>
                </c:pt>
                <c:pt idx="1">
                  <c:v>1591144</c:v>
                </c:pt>
                <c:pt idx="2">
                  <c:v>420</c:v>
                </c:pt>
              </c:numCache>
            </c:numRef>
          </c:val>
        </c:ser>
        <c:ser>
          <c:idx val="1"/>
          <c:order val="1"/>
          <c:tx>
            <c:strRef>
              <c:f>'fig 1 final'!$D$2</c:f>
              <c:strCache>
                <c:ptCount val="1"/>
                <c:pt idx="0">
                  <c:v>First Quarter 2018</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dLbl>
              <c:idx val="0"/>
              <c:layout>
                <c:manualLayout>
                  <c:x val="-2.7777777777777939E-3"/>
                  <c:y val="1.8518518518518559E-2"/>
                </c:manualLayout>
              </c:layout>
              <c:tx>
                <c:rich>
                  <a:bodyPr/>
                  <a:lstStyle/>
                  <a:p>
                    <a:r>
                      <a:rPr lang="en-US"/>
                      <a:t>0.79 </a:t>
                    </a:r>
                  </a:p>
                </c:rich>
              </c:tx>
              <c:dLblPos val="outEnd"/>
              <c:showVal val="1"/>
            </c:dLbl>
            <c:dLbl>
              <c:idx val="1"/>
              <c:layout>
                <c:manualLayout>
                  <c:x val="-2.7777777777777939E-3"/>
                  <c:y val="4.6296296296296459E-3"/>
                </c:manualLayout>
              </c:layout>
              <c:tx>
                <c:rich>
                  <a:bodyPr/>
                  <a:lstStyle/>
                  <a:p>
                    <a:r>
                      <a:rPr lang="en-US"/>
                      <a:t>0.79</a:t>
                    </a:r>
                  </a:p>
                </c:rich>
              </c:tx>
              <c:dLblPos val="outEnd"/>
              <c:showVal val="1"/>
            </c:dLbl>
            <c:dLbl>
              <c:idx val="2"/>
              <c:layout>
                <c:manualLayout>
                  <c:x val="2.500000000000014E-2"/>
                  <c:y val="-4.6296296296296459E-3"/>
                </c:manualLayout>
              </c:layout>
              <c:tx>
                <c:rich>
                  <a:bodyPr/>
                  <a:lstStyle/>
                  <a:p>
                    <a:r>
                      <a:rPr lang="en-US"/>
                      <a:t>0.00036 </a:t>
                    </a:r>
                  </a:p>
                </c:rich>
              </c:tx>
              <c:dLblPos val="outEnd"/>
              <c:showVal val="1"/>
            </c:dLbl>
            <c:txPr>
              <a:bodyPr/>
              <a:lstStyle/>
              <a:p>
                <a:pPr>
                  <a:defRPr lang="en-PH" sz="800">
                    <a:latin typeface="Arial" pitchFamily="34" charset="0"/>
                    <a:cs typeface="Arial" pitchFamily="34" charset="0"/>
                  </a:defRPr>
                </a:pPr>
                <a:endParaRPr lang="en-US"/>
              </a:p>
            </c:txPr>
            <c:dLblPos val="outEnd"/>
            <c:showVal val="1"/>
          </c:dLbls>
          <c:cat>
            <c:strRef>
              <c:f>'fig 1 final'!$B$3:$B$5</c:f>
              <c:strCache>
                <c:ptCount val="3"/>
                <c:pt idx="0">
                  <c:v>Total</c:v>
                </c:pt>
                <c:pt idx="1">
                  <c:v>Water</c:v>
                </c:pt>
                <c:pt idx="2">
                  <c:v>Air</c:v>
                </c:pt>
              </c:strCache>
            </c:strRef>
          </c:cat>
          <c:val>
            <c:numRef>
              <c:f>'fig 1 final'!$D$3:$D$5</c:f>
              <c:numCache>
                <c:formatCode>_(* #,##0_);_(* \(#,##0\);_(* "-"??_);_(@_)</c:formatCode>
                <c:ptCount val="3"/>
                <c:pt idx="0" formatCode="#,##0_);\(#,##0\)">
                  <c:v>792317</c:v>
                </c:pt>
                <c:pt idx="1">
                  <c:v>791953</c:v>
                </c:pt>
                <c:pt idx="2" formatCode="#,##0_);\(#,##0\)">
                  <c:v>364</c:v>
                </c:pt>
              </c:numCache>
            </c:numRef>
          </c:val>
        </c:ser>
        <c:dLbls>
          <c:showVal val="1"/>
        </c:dLbls>
        <c:axId val="94181632"/>
        <c:axId val="94261248"/>
      </c:barChart>
      <c:catAx>
        <c:axId val="94181632"/>
        <c:scaling>
          <c:orientation val="minMax"/>
        </c:scaling>
        <c:axPos val="b"/>
        <c:tickLblPos val="nextTo"/>
        <c:txPr>
          <a:bodyPr/>
          <a:lstStyle/>
          <a:p>
            <a:pPr>
              <a:defRPr lang="en-PH" sz="900">
                <a:latin typeface="Arial" pitchFamily="34" charset="0"/>
                <a:cs typeface="Arial" pitchFamily="34" charset="0"/>
              </a:defRPr>
            </a:pPr>
            <a:endParaRPr lang="en-US"/>
          </a:p>
        </c:txPr>
        <c:crossAx val="94261248"/>
        <c:crosses val="autoZero"/>
        <c:auto val="1"/>
        <c:lblAlgn val="ctr"/>
        <c:lblOffset val="100"/>
      </c:catAx>
      <c:valAx>
        <c:axId val="94261248"/>
        <c:scaling>
          <c:orientation val="minMax"/>
          <c:max val="2000000"/>
          <c:min val="0"/>
        </c:scaling>
        <c:axPos val="l"/>
        <c:numFmt formatCode="#,##0_);\(#,##0\)" sourceLinked="1"/>
        <c:tickLblPos val="nextTo"/>
        <c:txPr>
          <a:bodyPr/>
          <a:lstStyle/>
          <a:p>
            <a:pPr>
              <a:defRPr lang="en-PH" sz="900">
                <a:latin typeface="Arial" pitchFamily="34" charset="0"/>
                <a:cs typeface="Arial" pitchFamily="34" charset="0"/>
              </a:defRPr>
            </a:pPr>
            <a:endParaRPr lang="en-US"/>
          </a:p>
        </c:txPr>
        <c:crossAx val="94181632"/>
        <c:crosses val="autoZero"/>
        <c:crossBetween val="between"/>
        <c:majorUnit val="1000000"/>
        <c:minorUnit val="100000"/>
        <c:dispUnits>
          <c:builtInUnit val="millions"/>
          <c:dispUnitsLbl>
            <c:layout>
              <c:manualLayout>
                <c:xMode val="edge"/>
                <c:yMode val="edge"/>
                <c:x val="2.5000000000000015E-2"/>
                <c:y val="0.43032188684747891"/>
              </c:manualLayout>
            </c:layout>
            <c:tx>
              <c:rich>
                <a:bodyPr/>
                <a:lstStyle/>
                <a:p>
                  <a:pPr>
                    <a:defRPr lang="en-PH"/>
                  </a:pPr>
                  <a:r>
                    <a:rPr lang="en-US"/>
                    <a:t>In</a:t>
                  </a:r>
                  <a:r>
                    <a:rPr lang="en-US" baseline="0"/>
                    <a:t> </a:t>
                  </a:r>
                  <a:r>
                    <a:rPr lang="en-US"/>
                    <a:t>Million</a:t>
                  </a:r>
                  <a:r>
                    <a:rPr lang="en-US" baseline="0"/>
                    <a:t> Tons</a:t>
                  </a:r>
                  <a:endParaRPr lang="en-US"/>
                </a:p>
              </c:rich>
            </c:tx>
          </c:dispUnitsLbl>
        </c:dispUnits>
      </c:valAx>
    </c:plotArea>
    <c:legend>
      <c:legendPos val="t"/>
      <c:layout/>
      <c:txPr>
        <a:bodyPr/>
        <a:lstStyle/>
        <a:p>
          <a:pPr>
            <a:defRPr lang="en-PH" sz="900">
              <a:latin typeface="Arial" pitchFamily="34" charset="0"/>
              <a:cs typeface="Arial" pitchFamily="34"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a:pPr>
            <a:r>
              <a:rPr lang="en-PH" sz="1000" b="1" i="0" baseline="0">
                <a:latin typeface="Arial" pitchFamily="34" charset="0"/>
                <a:cs typeface="Arial" pitchFamily="34" charset="0"/>
              </a:rPr>
              <a:t>Figure 2 Quantity of Traded Commodities in Region X</a:t>
            </a:r>
            <a:endParaRPr lang="en-PH" sz="1000">
              <a:latin typeface="Arial" pitchFamily="34" charset="0"/>
              <a:cs typeface="Arial" pitchFamily="34" charset="0"/>
            </a:endParaRPr>
          </a:p>
          <a:p>
            <a:pPr>
              <a:defRPr lang="en-PH"/>
            </a:pPr>
            <a:r>
              <a:rPr lang="en-PH" sz="1000" b="1" i="0" baseline="0">
                <a:latin typeface="Arial" pitchFamily="34" charset="0"/>
                <a:cs typeface="Arial" pitchFamily="34" charset="0"/>
              </a:rPr>
              <a:t>First Quarter 2019 and 2018</a:t>
            </a:r>
          </a:p>
        </c:rich>
      </c:tx>
      <c:layout/>
    </c:title>
    <c:plotArea>
      <c:layout/>
      <c:barChart>
        <c:barDir val="bar"/>
        <c:grouping val="clustered"/>
        <c:ser>
          <c:idx val="0"/>
          <c:order val="0"/>
          <c:tx>
            <c:strRef>
              <c:f>'fig 2'!$B$17</c:f>
              <c:strCache>
                <c:ptCount val="1"/>
                <c:pt idx="0">
                  <c:v>1st Quarter 2018</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dLbls>
            <c:txPr>
              <a:bodyPr/>
              <a:lstStyle/>
              <a:p>
                <a:pPr>
                  <a:defRPr lang="en-PH" sz="700"/>
                </a:pPr>
                <a:endParaRPr lang="en-US"/>
              </a:p>
            </c:txPr>
            <c:dLblPos val="outEnd"/>
            <c:showVal val="1"/>
          </c:dLbls>
          <c:cat>
            <c:strRef>
              <c:f>'fig 2'!$A$18:$A$27</c:f>
              <c:strCache>
                <c:ptCount val="10"/>
                <c:pt idx="0">
                  <c:v>Miscellaneous Manufactured Articles</c:v>
                </c:pt>
                <c:pt idx="1">
                  <c:v>Animal and Vegetable Oils, Fats and Waxes</c:v>
                </c:pt>
                <c:pt idx="2">
                  <c:v>Commodities and Transactions not Elsewhere Classified in the PSCC</c:v>
                </c:pt>
                <c:pt idx="3">
                  <c:v>Beverages and Tobacco</c:v>
                </c:pt>
                <c:pt idx="4">
                  <c:v>Machinery and Transport Equipment</c:v>
                </c:pt>
                <c:pt idx="5">
                  <c:v>Mineral Fuels, Lubricants and Related Materials</c:v>
                </c:pt>
                <c:pt idx="6">
                  <c:v>Crude Materials, Inedible, Except Fuels</c:v>
                </c:pt>
                <c:pt idx="7">
                  <c:v>Manufactured Goods Classified Chiefly by Material</c:v>
                </c:pt>
                <c:pt idx="8">
                  <c:v>Food and Live Animals</c:v>
                </c:pt>
                <c:pt idx="9">
                  <c:v>Chemical and Related Products, n. e. c.</c:v>
                </c:pt>
              </c:strCache>
            </c:strRef>
          </c:cat>
          <c:val>
            <c:numRef>
              <c:f>'fig 2'!$B$18:$B$27</c:f>
              <c:numCache>
                <c:formatCode>#,##0.00_);\(#,##0.00\)</c:formatCode>
                <c:ptCount val="10"/>
                <c:pt idx="0" formatCode="#,##0.000_);\(#,##0.000\)">
                  <c:v>1.0024025000000005E-3</c:v>
                </c:pt>
                <c:pt idx="1">
                  <c:v>1.0795809000000003E-2</c:v>
                </c:pt>
                <c:pt idx="2">
                  <c:v>6.7412595000000035E-3</c:v>
                </c:pt>
                <c:pt idx="3">
                  <c:v>0.13414835700000005</c:v>
                </c:pt>
                <c:pt idx="4">
                  <c:v>3.6096152500000006E-2</c:v>
                </c:pt>
                <c:pt idx="5">
                  <c:v>3.2285876000000012E-2</c:v>
                </c:pt>
                <c:pt idx="6">
                  <c:v>0.273558358</c:v>
                </c:pt>
                <c:pt idx="7">
                  <c:v>0.13661952299999994</c:v>
                </c:pt>
                <c:pt idx="8">
                  <c:v>0.13750234550000007</c:v>
                </c:pt>
                <c:pt idx="9">
                  <c:v>2.3566980499999998E-2</c:v>
                </c:pt>
              </c:numCache>
            </c:numRef>
          </c:val>
        </c:ser>
        <c:ser>
          <c:idx val="1"/>
          <c:order val="1"/>
          <c:tx>
            <c:strRef>
              <c:f>'fig 2'!$C$17</c:f>
              <c:strCache>
                <c:ptCount val="1"/>
                <c:pt idx="0">
                  <c:v>1st Quarter 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dLbls>
            <c:txPr>
              <a:bodyPr/>
              <a:lstStyle/>
              <a:p>
                <a:pPr>
                  <a:defRPr lang="en-PH" sz="700"/>
                </a:pPr>
                <a:endParaRPr lang="en-US"/>
              </a:p>
            </c:txPr>
            <c:dLblPos val="outEnd"/>
            <c:showVal val="1"/>
          </c:dLbls>
          <c:cat>
            <c:strRef>
              <c:f>'fig 2'!$A$18:$A$27</c:f>
              <c:strCache>
                <c:ptCount val="10"/>
                <c:pt idx="0">
                  <c:v>Miscellaneous Manufactured Articles</c:v>
                </c:pt>
                <c:pt idx="1">
                  <c:v>Animal and Vegetable Oils, Fats and Waxes</c:v>
                </c:pt>
                <c:pt idx="2">
                  <c:v>Commodities and Transactions not Elsewhere Classified in the PSCC</c:v>
                </c:pt>
                <c:pt idx="3">
                  <c:v>Beverages and Tobacco</c:v>
                </c:pt>
                <c:pt idx="4">
                  <c:v>Machinery and Transport Equipment</c:v>
                </c:pt>
                <c:pt idx="5">
                  <c:v>Mineral Fuels, Lubricants and Related Materials</c:v>
                </c:pt>
                <c:pt idx="6">
                  <c:v>Crude Materials, Inedible, Except Fuels</c:v>
                </c:pt>
                <c:pt idx="7">
                  <c:v>Manufactured Goods Classified Chiefly by Material</c:v>
                </c:pt>
                <c:pt idx="8">
                  <c:v>Food and Live Animals</c:v>
                </c:pt>
                <c:pt idx="9">
                  <c:v>Chemical and Related Products, n. e. c.</c:v>
                </c:pt>
              </c:strCache>
            </c:strRef>
          </c:cat>
          <c:val>
            <c:numRef>
              <c:f>'fig 2'!$C$18:$C$27</c:f>
              <c:numCache>
                <c:formatCode>#,##0.00_);\(#,##0.00\)</c:formatCode>
                <c:ptCount val="10"/>
                <c:pt idx="0" formatCode="#,##0.000_);\(#,##0.000\)">
                  <c:v>2.403995500000001E-3</c:v>
                </c:pt>
                <c:pt idx="1">
                  <c:v>1.9745036000000007E-2</c:v>
                </c:pt>
                <c:pt idx="2">
                  <c:v>1.9864457500000005E-2</c:v>
                </c:pt>
                <c:pt idx="3">
                  <c:v>2.2171902000000018E-2</c:v>
                </c:pt>
                <c:pt idx="4">
                  <c:v>3.3848301500000011E-2</c:v>
                </c:pt>
                <c:pt idx="5">
                  <c:v>3.7920688000000001E-2</c:v>
                </c:pt>
                <c:pt idx="6">
                  <c:v>0.18721087450000007</c:v>
                </c:pt>
                <c:pt idx="7">
                  <c:v>0.20210648500000006</c:v>
                </c:pt>
                <c:pt idx="8">
                  <c:v>0.42873160900000001</c:v>
                </c:pt>
                <c:pt idx="9">
                  <c:v>0.63756055700000003</c:v>
                </c:pt>
              </c:numCache>
            </c:numRef>
          </c:val>
        </c:ser>
        <c:axId val="38540032"/>
        <c:axId val="38541568"/>
      </c:barChart>
      <c:catAx>
        <c:axId val="38540032"/>
        <c:scaling>
          <c:orientation val="minMax"/>
        </c:scaling>
        <c:axPos val="l"/>
        <c:tickLblPos val="nextTo"/>
        <c:txPr>
          <a:bodyPr/>
          <a:lstStyle/>
          <a:p>
            <a:pPr>
              <a:defRPr lang="en-PH"/>
            </a:pPr>
            <a:endParaRPr lang="en-US"/>
          </a:p>
        </c:txPr>
        <c:crossAx val="38541568"/>
        <c:crossesAt val="0"/>
        <c:auto val="1"/>
        <c:lblAlgn val="ctr"/>
        <c:lblOffset val="100"/>
      </c:catAx>
      <c:valAx>
        <c:axId val="38541568"/>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a:lstStyle/>
              <a:p>
                <a:pPr>
                  <a:defRPr lang="en-PH"/>
                </a:pPr>
                <a:r>
                  <a:rPr lang="en-PH"/>
                  <a:t>Million</a:t>
                </a:r>
                <a:r>
                  <a:rPr lang="en-PH" baseline="0"/>
                  <a:t> Tons</a:t>
                </a:r>
                <a:endParaRPr lang="en-PH"/>
              </a:p>
            </c:rich>
          </c:tx>
          <c:layout/>
        </c:title>
        <c:numFmt formatCode="0.00" sourceLinked="0"/>
        <c:tickLblPos val="nextTo"/>
        <c:txPr>
          <a:bodyPr/>
          <a:lstStyle/>
          <a:p>
            <a:pPr>
              <a:defRPr lang="en-PH"/>
            </a:pPr>
            <a:endParaRPr lang="en-US"/>
          </a:p>
        </c:txPr>
        <c:crossAx val="38540032"/>
        <c:crosses val="autoZero"/>
        <c:crossBetween val="between"/>
      </c:valAx>
    </c:plotArea>
    <c:legend>
      <c:legendPos val="r"/>
      <c:layout>
        <c:manualLayout>
          <c:xMode val="edge"/>
          <c:yMode val="edge"/>
          <c:x val="0.75253570140793058"/>
          <c:y val="0.55710407465920475"/>
          <c:w val="0.20797026827553378"/>
          <c:h val="8.5465323699526155E-2"/>
        </c:manualLayout>
      </c:layout>
      <c:overlay val="1"/>
      <c:txPr>
        <a:bodyPr/>
        <a:lstStyle/>
        <a:p>
          <a:pPr>
            <a:defRPr lang="en-PH"/>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sz="1000"/>
            </a:pPr>
            <a:r>
              <a:rPr lang="en-PH" sz="1000">
                <a:latin typeface="Arial" pitchFamily="34" charset="0"/>
                <a:cs typeface="Arial" pitchFamily="34" charset="0"/>
              </a:rPr>
              <a:t>Figure</a:t>
            </a:r>
            <a:r>
              <a:rPr lang="en-PH" sz="1000" baseline="0">
                <a:latin typeface="Arial" pitchFamily="34" charset="0"/>
                <a:cs typeface="Arial" pitchFamily="34" charset="0"/>
              </a:rPr>
              <a:t> 3 Quantity of Domestic Trade by Region</a:t>
            </a:r>
          </a:p>
          <a:p>
            <a:pPr>
              <a:defRPr lang="en-PH" sz="1000"/>
            </a:pPr>
            <a:r>
              <a:rPr lang="en-PH" sz="1000" baseline="0">
                <a:latin typeface="Arial" pitchFamily="34" charset="0"/>
                <a:cs typeface="Arial" pitchFamily="34" charset="0"/>
              </a:rPr>
              <a:t>First Quarter 2019 and 2018</a:t>
            </a:r>
            <a:endParaRPr lang="en-PH" sz="1000">
              <a:latin typeface="Arial" pitchFamily="34" charset="0"/>
              <a:cs typeface="Arial" pitchFamily="34" charset="0"/>
            </a:endParaRPr>
          </a:p>
        </c:rich>
      </c:tx>
      <c:layout/>
    </c:title>
    <c:plotArea>
      <c:layout/>
      <c:barChart>
        <c:barDir val="col"/>
        <c:grouping val="clustered"/>
        <c:ser>
          <c:idx val="0"/>
          <c:order val="0"/>
          <c:tx>
            <c:strRef>
              <c:f>'fig 2 final'!$C$4</c:f>
              <c:strCache>
                <c:ptCount val="1"/>
                <c:pt idx="0">
                  <c:v>First Quarter 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dP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dPt>
          <c:dLbls>
            <c:dLbl>
              <c:idx val="8"/>
              <c:layout>
                <c:manualLayout>
                  <c:x val="7.3149612159796301E-17"/>
                  <c:y val="9.9750623441396766E-3"/>
                </c:manualLayout>
              </c:layout>
              <c:dLblPos val="outEnd"/>
              <c:showVal val="1"/>
            </c:dLbl>
            <c:dLbl>
              <c:idx val="9"/>
              <c:layout>
                <c:manualLayout>
                  <c:x val="0"/>
                  <c:y val="1.3300083125519543E-2"/>
                </c:manualLayout>
              </c:layout>
              <c:dLblPos val="outEnd"/>
              <c:showVal val="1"/>
            </c:dLbl>
            <c:dLbl>
              <c:idx val="10"/>
              <c:layout>
                <c:manualLayout>
                  <c:x val="0"/>
                  <c:y val="9.9750623441396766E-3"/>
                </c:manualLayout>
              </c:layout>
              <c:dLblPos val="outEnd"/>
              <c:showVal val="1"/>
            </c:dLbl>
            <c:dLbl>
              <c:idx val="11"/>
              <c:layout>
                <c:manualLayout>
                  <c:x val="0"/>
                  <c:y val="1.3300083125519543E-2"/>
                </c:manualLayout>
              </c:layout>
              <c:dLblPos val="outEnd"/>
              <c:showVal val="1"/>
            </c:dLbl>
            <c:dLbl>
              <c:idx val="12"/>
              <c:layout>
                <c:manualLayout>
                  <c:x val="0"/>
                  <c:y val="6.6500415627597674E-3"/>
                </c:manualLayout>
              </c:layout>
              <c:dLblPos val="outEnd"/>
              <c:showVal val="1"/>
            </c:dLbl>
            <c:txPr>
              <a:bodyPr/>
              <a:lstStyle/>
              <a:p>
                <a:pPr>
                  <a:defRPr lang="en-PH" sz="700"/>
                </a:pPr>
                <a:endParaRPr lang="en-US"/>
              </a:p>
            </c:txPr>
            <c:dLblPos val="outEnd"/>
            <c:showVal val="1"/>
          </c:dLbls>
          <c:cat>
            <c:strRef>
              <c:f>'fig 2 final'!$B$5:$B$18</c:f>
              <c:strCache>
                <c:ptCount val="14"/>
                <c:pt idx="0">
                  <c:v>NCR</c:v>
                </c:pt>
                <c:pt idx="1">
                  <c:v>III</c:v>
                </c:pt>
                <c:pt idx="2">
                  <c:v>IVa</c:v>
                </c:pt>
                <c:pt idx="3">
                  <c:v>MIMAROPA</c:v>
                </c:pt>
                <c:pt idx="4">
                  <c:v>V</c:v>
                </c:pt>
                <c:pt idx="5">
                  <c:v>VI</c:v>
                </c:pt>
                <c:pt idx="6">
                  <c:v>VII</c:v>
                </c:pt>
                <c:pt idx="7">
                  <c:v>VIII</c:v>
                </c:pt>
                <c:pt idx="8">
                  <c:v>IX</c:v>
                </c:pt>
                <c:pt idx="9">
                  <c:v>X</c:v>
                </c:pt>
                <c:pt idx="10">
                  <c:v>XI</c:v>
                </c:pt>
                <c:pt idx="11">
                  <c:v>XII</c:v>
                </c:pt>
                <c:pt idx="12">
                  <c:v>Caraga</c:v>
                </c:pt>
                <c:pt idx="13">
                  <c:v>ARMM</c:v>
                </c:pt>
              </c:strCache>
            </c:strRef>
          </c:cat>
          <c:val>
            <c:numRef>
              <c:f>'fig 2 final'!$C$5:$C$18</c:f>
              <c:numCache>
                <c:formatCode>#,##0.00_);\(#,##0.00\)</c:formatCode>
                <c:ptCount val="14"/>
                <c:pt idx="0">
                  <c:v>0.72000000000000042</c:v>
                </c:pt>
                <c:pt idx="1">
                  <c:v>1.129999999999999</c:v>
                </c:pt>
                <c:pt idx="2">
                  <c:v>0</c:v>
                </c:pt>
                <c:pt idx="3">
                  <c:v>4.0000000000000022E-2</c:v>
                </c:pt>
                <c:pt idx="4">
                  <c:v>0.2400000000000001</c:v>
                </c:pt>
                <c:pt idx="5">
                  <c:v>0.4</c:v>
                </c:pt>
                <c:pt idx="6">
                  <c:v>0.71000000000000041</c:v>
                </c:pt>
                <c:pt idx="7">
                  <c:v>0.2900000000000002</c:v>
                </c:pt>
                <c:pt idx="8">
                  <c:v>0.05</c:v>
                </c:pt>
                <c:pt idx="9">
                  <c:v>1.59</c:v>
                </c:pt>
                <c:pt idx="10">
                  <c:v>9.0000000000000024E-2</c:v>
                </c:pt>
                <c:pt idx="11">
                  <c:v>6.0000000000000032E-2</c:v>
                </c:pt>
                <c:pt idx="12">
                  <c:v>0.16</c:v>
                </c:pt>
                <c:pt idx="13">
                  <c:v>0.05</c:v>
                </c:pt>
              </c:numCache>
            </c:numRef>
          </c:val>
        </c:ser>
        <c:ser>
          <c:idx val="1"/>
          <c:order val="1"/>
          <c:tx>
            <c:strRef>
              <c:f>'fig 2 final'!$D$4</c:f>
              <c:strCache>
                <c:ptCount val="1"/>
                <c:pt idx="0">
                  <c:v>First Quarter 2018</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dPt>
            <c:idx val="9"/>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dPt>
          <c:dLbls>
            <c:dLbl>
              <c:idx val="0"/>
              <c:layout>
                <c:manualLayout>
                  <c:x val="0"/>
                  <c:y val="9.9750623441396246E-3"/>
                </c:manualLayout>
              </c:layout>
              <c:dLblPos val="outEnd"/>
              <c:showVal val="1"/>
            </c:dLbl>
            <c:dLbl>
              <c:idx val="1"/>
              <c:layout>
                <c:manualLayout>
                  <c:x val="9.9750623441396766E-3"/>
                  <c:y val="1.3300083125519543E-2"/>
                </c:manualLayout>
              </c:layout>
              <c:dLblPos val="outEnd"/>
              <c:showVal val="1"/>
            </c:dLbl>
            <c:dLbl>
              <c:idx val="3"/>
              <c:layout>
                <c:manualLayout>
                  <c:x val="5.9850374064837914E-3"/>
                  <c:y val="9.9750623441396766E-3"/>
                </c:manualLayout>
              </c:layout>
              <c:dLblPos val="outEnd"/>
              <c:showVal val="1"/>
            </c:dLbl>
            <c:dLbl>
              <c:idx val="4"/>
              <c:layout>
                <c:manualLayout>
                  <c:x val="3.9900249376558601E-3"/>
                  <c:y val="1.3300083125519543E-2"/>
                </c:manualLayout>
              </c:layout>
              <c:dLblPos val="outEnd"/>
              <c:showVal val="1"/>
            </c:dLbl>
            <c:dLbl>
              <c:idx val="6"/>
              <c:layout>
                <c:manualLayout>
                  <c:x val="0"/>
                  <c:y val="9.9750623441396766E-3"/>
                </c:manualLayout>
              </c:layout>
              <c:dLblPos val="outEnd"/>
              <c:showVal val="1"/>
            </c:dLbl>
            <c:dLbl>
              <c:idx val="7"/>
              <c:layout>
                <c:manualLayout>
                  <c:x val="-1.5708759597070394E-7"/>
                  <c:y val="1.3300083125519543E-2"/>
                </c:manualLayout>
              </c:layout>
              <c:dLblPos val="outEnd"/>
              <c:showVal val="1"/>
            </c:dLbl>
            <c:dLbl>
              <c:idx val="9"/>
              <c:layout>
                <c:manualLayout>
                  <c:x val="0"/>
                  <c:y val="1.3300083125519543E-2"/>
                </c:manualLayout>
              </c:layout>
              <c:dLblPos val="outEnd"/>
              <c:showVal val="1"/>
            </c:dLbl>
            <c:dLbl>
              <c:idx val="11"/>
              <c:layout>
                <c:manualLayout>
                  <c:x val="0"/>
                  <c:y val="9.9750623441396766E-3"/>
                </c:manualLayout>
              </c:layout>
              <c:dLblPos val="outEnd"/>
              <c:showVal val="1"/>
            </c:dLbl>
            <c:dLbl>
              <c:idx val="12"/>
              <c:layout>
                <c:manualLayout>
                  <c:x val="0"/>
                  <c:y val="9.9750623441396766E-3"/>
                </c:manualLayout>
              </c:layout>
              <c:dLblPos val="outEnd"/>
              <c:showVal val="1"/>
            </c:dLbl>
            <c:txPr>
              <a:bodyPr/>
              <a:lstStyle/>
              <a:p>
                <a:pPr>
                  <a:defRPr lang="en-PH" sz="700"/>
                </a:pPr>
                <a:endParaRPr lang="en-US"/>
              </a:p>
            </c:txPr>
            <c:dLblPos val="outEnd"/>
            <c:showVal val="1"/>
          </c:dLbls>
          <c:cat>
            <c:strRef>
              <c:f>'fig 2 final'!$B$5:$B$18</c:f>
              <c:strCache>
                <c:ptCount val="14"/>
                <c:pt idx="0">
                  <c:v>NCR</c:v>
                </c:pt>
                <c:pt idx="1">
                  <c:v>III</c:v>
                </c:pt>
                <c:pt idx="2">
                  <c:v>IVa</c:v>
                </c:pt>
                <c:pt idx="3">
                  <c:v>MIMAROPA</c:v>
                </c:pt>
                <c:pt idx="4">
                  <c:v>V</c:v>
                </c:pt>
                <c:pt idx="5">
                  <c:v>VI</c:v>
                </c:pt>
                <c:pt idx="6">
                  <c:v>VII</c:v>
                </c:pt>
                <c:pt idx="7">
                  <c:v>VIII</c:v>
                </c:pt>
                <c:pt idx="8">
                  <c:v>IX</c:v>
                </c:pt>
                <c:pt idx="9">
                  <c:v>X</c:v>
                </c:pt>
                <c:pt idx="10">
                  <c:v>XI</c:v>
                </c:pt>
                <c:pt idx="11">
                  <c:v>XII</c:v>
                </c:pt>
                <c:pt idx="12">
                  <c:v>Caraga</c:v>
                </c:pt>
                <c:pt idx="13">
                  <c:v>ARMM</c:v>
                </c:pt>
              </c:strCache>
            </c:strRef>
          </c:cat>
          <c:val>
            <c:numRef>
              <c:f>'fig 2 final'!$D$5:$D$18</c:f>
              <c:numCache>
                <c:formatCode>#,##0.00_);\(#,##0.00\)</c:formatCode>
                <c:ptCount val="14"/>
                <c:pt idx="0">
                  <c:v>0.54</c:v>
                </c:pt>
                <c:pt idx="1">
                  <c:v>1.01</c:v>
                </c:pt>
                <c:pt idx="2">
                  <c:v>8.0000000000000043E-2</c:v>
                </c:pt>
                <c:pt idx="3">
                  <c:v>2.0000000000000011E-2</c:v>
                </c:pt>
                <c:pt idx="4">
                  <c:v>0.12000000000000002</c:v>
                </c:pt>
                <c:pt idx="5">
                  <c:v>0.58000000000000007</c:v>
                </c:pt>
                <c:pt idx="6">
                  <c:v>1.2</c:v>
                </c:pt>
                <c:pt idx="7">
                  <c:v>0.27</c:v>
                </c:pt>
                <c:pt idx="8">
                  <c:v>8.0000000000000043E-2</c:v>
                </c:pt>
                <c:pt idx="9">
                  <c:v>0.79</c:v>
                </c:pt>
                <c:pt idx="10">
                  <c:v>0.17</c:v>
                </c:pt>
                <c:pt idx="11">
                  <c:v>0.11</c:v>
                </c:pt>
                <c:pt idx="12">
                  <c:v>7.0000000000000021E-2</c:v>
                </c:pt>
                <c:pt idx="13">
                  <c:v>0.05</c:v>
                </c:pt>
              </c:numCache>
            </c:numRef>
          </c:val>
        </c:ser>
        <c:dLbls>
          <c:showVal val="1"/>
        </c:dLbls>
        <c:gapWidth val="62"/>
        <c:overlap val="-10"/>
        <c:axId val="38560512"/>
        <c:axId val="38562048"/>
      </c:barChart>
      <c:catAx>
        <c:axId val="38560512"/>
        <c:scaling>
          <c:orientation val="minMax"/>
        </c:scaling>
        <c:axPos val="b"/>
        <c:tickLblPos val="nextTo"/>
        <c:txPr>
          <a:bodyPr/>
          <a:lstStyle/>
          <a:p>
            <a:pPr>
              <a:defRPr lang="en-PH"/>
            </a:pPr>
            <a:endParaRPr lang="en-US"/>
          </a:p>
        </c:txPr>
        <c:crossAx val="38562048"/>
        <c:crosses val="autoZero"/>
        <c:auto val="1"/>
        <c:lblAlgn val="ctr"/>
        <c:lblOffset val="100"/>
      </c:catAx>
      <c:valAx>
        <c:axId val="38562048"/>
        <c:scaling>
          <c:orientation val="minMax"/>
        </c:scaling>
        <c:axPos val="l"/>
        <c:title>
          <c:tx>
            <c:rich>
              <a:bodyPr rot="-5400000" vert="horz"/>
              <a:lstStyle/>
              <a:p>
                <a:pPr>
                  <a:defRPr lang="en-PH"/>
                </a:pPr>
                <a:r>
                  <a:rPr lang="en-US"/>
                  <a:t>Million Tons</a:t>
                </a:r>
              </a:p>
            </c:rich>
          </c:tx>
          <c:layout/>
        </c:title>
        <c:numFmt formatCode="#,##0.00_);\(#,##0.00\)" sourceLinked="1"/>
        <c:tickLblPos val="nextTo"/>
        <c:txPr>
          <a:bodyPr/>
          <a:lstStyle/>
          <a:p>
            <a:pPr>
              <a:defRPr lang="en-PH"/>
            </a:pPr>
            <a:endParaRPr lang="en-US"/>
          </a:p>
        </c:txPr>
        <c:crossAx val="38560512"/>
        <c:crosses val="autoZero"/>
        <c:crossBetween val="between"/>
      </c:valAx>
    </c:plotArea>
    <c:legend>
      <c:legendPos val="t"/>
      <c:layout/>
      <c:txPr>
        <a:bodyPr/>
        <a:lstStyle/>
        <a:p>
          <a:pPr>
            <a:defRPr lang="en-PH"/>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a:pPr>
            <a:r>
              <a:rPr lang="en-PH" sz="1000" b="1" i="0" baseline="0">
                <a:latin typeface="Arial" pitchFamily="34" charset="0"/>
                <a:cs typeface="Arial" pitchFamily="34" charset="0"/>
              </a:rPr>
              <a:t>Figure 4 Value of Domestic Trade by Mode of Transport</a:t>
            </a:r>
            <a:endParaRPr lang="en-PH" sz="1000">
              <a:latin typeface="Arial" pitchFamily="34" charset="0"/>
              <a:cs typeface="Arial" pitchFamily="34" charset="0"/>
            </a:endParaRPr>
          </a:p>
          <a:p>
            <a:pPr>
              <a:defRPr lang="en-PH"/>
            </a:pPr>
            <a:r>
              <a:rPr lang="en-PH" sz="1000" b="1" i="0" baseline="0">
                <a:latin typeface="Arial" pitchFamily="34" charset="0"/>
                <a:cs typeface="Arial" pitchFamily="34" charset="0"/>
              </a:rPr>
              <a:t>First Quarter 2019 and 2018</a:t>
            </a:r>
            <a:endParaRPr lang="en-PH" sz="1000">
              <a:latin typeface="Arial" pitchFamily="34" charset="0"/>
              <a:cs typeface="Arial" pitchFamily="34" charset="0"/>
            </a:endParaRPr>
          </a:p>
        </c:rich>
      </c:tx>
      <c:layout/>
    </c:title>
    <c:plotArea>
      <c:layout>
        <c:manualLayout>
          <c:layoutTarget val="inner"/>
          <c:xMode val="edge"/>
          <c:yMode val="edge"/>
          <c:x val="0.1782607583408799"/>
          <c:y val="0.27478704732460701"/>
          <c:w val="0.76715834497295821"/>
          <c:h val="0.64320209973753251"/>
        </c:manualLayout>
      </c:layout>
      <c:barChart>
        <c:barDir val="col"/>
        <c:grouping val="clustered"/>
        <c:ser>
          <c:idx val="0"/>
          <c:order val="0"/>
          <c:tx>
            <c:strRef>
              <c:f>'fig 3 final'!$C$3</c:f>
              <c:strCache>
                <c:ptCount val="1"/>
                <c:pt idx="0">
                  <c:v>First Quarter 2019</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Lbls>
            <c:dLbl>
              <c:idx val="0"/>
              <c:layout>
                <c:manualLayout>
                  <c:x val="-7.7972709551656924E-3"/>
                  <c:y val="8.1799591002044997E-3"/>
                </c:manualLayout>
              </c:layout>
              <c:dLblPos val="outEnd"/>
              <c:showVal val="1"/>
            </c:dLbl>
            <c:dLbl>
              <c:idx val="1"/>
              <c:layout>
                <c:manualLayout>
                  <c:x val="0"/>
                  <c:y val="1.2269938650306782E-2"/>
                </c:manualLayout>
              </c:layout>
              <c:dLblPos val="outEnd"/>
              <c:showVal val="1"/>
            </c:dLbl>
            <c:txPr>
              <a:bodyPr/>
              <a:lstStyle/>
              <a:p>
                <a:pPr>
                  <a:defRPr lang="en-PH"/>
                </a:pPr>
                <a:endParaRPr lang="en-US"/>
              </a:p>
            </c:txPr>
            <c:dLblPos val="outEnd"/>
            <c:showVal val="1"/>
          </c:dLbls>
          <c:cat>
            <c:strRef>
              <c:f>'fig 3 final'!$B$4:$B$6</c:f>
              <c:strCache>
                <c:ptCount val="3"/>
                <c:pt idx="0">
                  <c:v>Total</c:v>
                </c:pt>
                <c:pt idx="1">
                  <c:v>Water</c:v>
                </c:pt>
                <c:pt idx="2">
                  <c:v>Air</c:v>
                </c:pt>
              </c:strCache>
            </c:strRef>
          </c:cat>
          <c:val>
            <c:numRef>
              <c:f>'fig 3 final'!$C$4:$C$6</c:f>
              <c:numCache>
                <c:formatCode>#,##0.00_);\(#,##0.00\)</c:formatCode>
                <c:ptCount val="3"/>
                <c:pt idx="0">
                  <c:v>17.581999999999987</c:v>
                </c:pt>
                <c:pt idx="1">
                  <c:v>17.579999999999988</c:v>
                </c:pt>
                <c:pt idx="2" formatCode="#,##0.000_);\(#,##0.000\)">
                  <c:v>2.0000000000000044E-3</c:v>
                </c:pt>
              </c:numCache>
            </c:numRef>
          </c:val>
        </c:ser>
        <c:ser>
          <c:idx val="1"/>
          <c:order val="1"/>
          <c:tx>
            <c:strRef>
              <c:f>'fig 3 final'!$D$3</c:f>
              <c:strCache>
                <c:ptCount val="1"/>
                <c:pt idx="0">
                  <c:v>First Quarter 2018</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dLbl>
              <c:idx val="0"/>
              <c:layout>
                <c:manualLayout>
                  <c:x val="2.5990903183885652E-3"/>
                  <c:y val="1.6359918200408999E-2"/>
                </c:manualLayout>
              </c:layout>
              <c:dLblPos val="outEnd"/>
              <c:showVal val="1"/>
            </c:dLbl>
            <c:dLbl>
              <c:idx val="1"/>
              <c:layout>
                <c:manualLayout>
                  <c:x val="0"/>
                  <c:y val="1.6359918200408999E-2"/>
                </c:manualLayout>
              </c:layout>
              <c:dLblPos val="outEnd"/>
              <c:showVal val="1"/>
            </c:dLbl>
            <c:txPr>
              <a:bodyPr/>
              <a:lstStyle/>
              <a:p>
                <a:pPr>
                  <a:defRPr lang="en-PH"/>
                </a:pPr>
                <a:endParaRPr lang="en-US"/>
              </a:p>
            </c:txPr>
            <c:dLblPos val="outEnd"/>
            <c:showVal val="1"/>
          </c:dLbls>
          <c:cat>
            <c:strRef>
              <c:f>'fig 3 final'!$B$4:$B$6</c:f>
              <c:strCache>
                <c:ptCount val="3"/>
                <c:pt idx="0">
                  <c:v>Total</c:v>
                </c:pt>
                <c:pt idx="1">
                  <c:v>Water</c:v>
                </c:pt>
                <c:pt idx="2">
                  <c:v>Air</c:v>
                </c:pt>
              </c:strCache>
            </c:strRef>
          </c:cat>
          <c:val>
            <c:numRef>
              <c:f>'fig 3 final'!$D$4:$D$6</c:f>
              <c:numCache>
                <c:formatCode>#,##0.00_);\(#,##0.00\)</c:formatCode>
                <c:ptCount val="3"/>
                <c:pt idx="0">
                  <c:v>15.306000000000004</c:v>
                </c:pt>
                <c:pt idx="1">
                  <c:v>15.303000000000004</c:v>
                </c:pt>
                <c:pt idx="2" formatCode="#,##0.000_);\(#,##0.000\)">
                  <c:v>3.0000000000000048E-3</c:v>
                </c:pt>
              </c:numCache>
            </c:numRef>
          </c:val>
        </c:ser>
        <c:dLbls>
          <c:showVal val="1"/>
        </c:dLbls>
        <c:axId val="39008896"/>
        <c:axId val="39125376"/>
      </c:barChart>
      <c:catAx>
        <c:axId val="39008896"/>
        <c:scaling>
          <c:orientation val="minMax"/>
        </c:scaling>
        <c:axPos val="b"/>
        <c:tickLblPos val="nextTo"/>
        <c:txPr>
          <a:bodyPr/>
          <a:lstStyle/>
          <a:p>
            <a:pPr>
              <a:defRPr lang="en-PH"/>
            </a:pPr>
            <a:endParaRPr lang="en-US"/>
          </a:p>
        </c:txPr>
        <c:crossAx val="39125376"/>
        <c:crosses val="autoZero"/>
        <c:auto val="1"/>
        <c:lblAlgn val="ctr"/>
        <c:lblOffset val="100"/>
      </c:catAx>
      <c:valAx>
        <c:axId val="39125376"/>
        <c:scaling>
          <c:orientation val="minMax"/>
        </c:scaling>
        <c:axPos val="l"/>
        <c:title>
          <c:tx>
            <c:rich>
              <a:bodyPr rot="-5400000" vert="horz"/>
              <a:lstStyle/>
              <a:p>
                <a:pPr>
                  <a:defRPr lang="en-PH"/>
                </a:pPr>
                <a:r>
                  <a:rPr lang="en-US"/>
                  <a:t>In Billion Pesos</a:t>
                </a:r>
              </a:p>
            </c:rich>
          </c:tx>
          <c:layout/>
        </c:title>
        <c:numFmt formatCode="#,##0.00_);\(#,##0.00\)" sourceLinked="1"/>
        <c:tickLblPos val="nextTo"/>
        <c:txPr>
          <a:bodyPr/>
          <a:lstStyle/>
          <a:p>
            <a:pPr>
              <a:defRPr lang="en-PH"/>
            </a:pPr>
            <a:endParaRPr lang="en-US"/>
          </a:p>
        </c:txPr>
        <c:crossAx val="39008896"/>
        <c:crosses val="autoZero"/>
        <c:crossBetween val="between"/>
      </c:valAx>
    </c:plotArea>
    <c:legend>
      <c:legendPos val="t"/>
      <c:layout/>
      <c:txPr>
        <a:bodyPr/>
        <a:lstStyle/>
        <a:p>
          <a:pPr>
            <a:defRPr lang="en-PH"/>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a:pPr>
            <a:r>
              <a:rPr lang="en-PH" sz="1000">
                <a:latin typeface="Arial" pitchFamily="34" charset="0"/>
                <a:cs typeface="Arial" pitchFamily="34" charset="0"/>
              </a:rPr>
              <a:t>Figure 5 Value of Traded Commodities in Region X</a:t>
            </a:r>
          </a:p>
          <a:p>
            <a:pPr>
              <a:defRPr lang="en-PH"/>
            </a:pPr>
            <a:r>
              <a:rPr lang="en-PH" sz="1000">
                <a:latin typeface="Arial" pitchFamily="34" charset="0"/>
                <a:cs typeface="Arial" pitchFamily="34" charset="0"/>
              </a:rPr>
              <a:t>First</a:t>
            </a:r>
            <a:r>
              <a:rPr lang="en-PH" sz="1000" baseline="0">
                <a:latin typeface="Arial" pitchFamily="34" charset="0"/>
                <a:cs typeface="Arial" pitchFamily="34" charset="0"/>
              </a:rPr>
              <a:t> Quarter 2019 and 2018</a:t>
            </a:r>
            <a:endParaRPr lang="en-PH" sz="1000">
              <a:latin typeface="Arial" pitchFamily="34" charset="0"/>
              <a:cs typeface="Arial" pitchFamily="34" charset="0"/>
            </a:endParaRPr>
          </a:p>
        </c:rich>
      </c:tx>
      <c:layout/>
    </c:title>
    <c:plotArea>
      <c:layout/>
      <c:barChart>
        <c:barDir val="bar"/>
        <c:grouping val="clustered"/>
        <c:ser>
          <c:idx val="0"/>
          <c:order val="0"/>
          <c:tx>
            <c:strRef>
              <c:f>'fig 5'!$B$16</c:f>
              <c:strCache>
                <c:ptCount val="1"/>
                <c:pt idx="0">
                  <c:v>1st Quarter 2018</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dLbls>
            <c:txPr>
              <a:bodyPr/>
              <a:lstStyle/>
              <a:p>
                <a:pPr>
                  <a:defRPr lang="en-PH" sz="700"/>
                </a:pPr>
                <a:endParaRPr lang="en-US"/>
              </a:p>
            </c:txPr>
            <c:dLblPos val="outEnd"/>
            <c:showVal val="1"/>
          </c:dLbls>
          <c:cat>
            <c:strRef>
              <c:f>'fig 5'!$A$17:$A$26</c:f>
              <c:strCache>
                <c:ptCount val="10"/>
                <c:pt idx="0">
                  <c:v>Miscellaneous Manufactured   Articles</c:v>
                </c:pt>
                <c:pt idx="1">
                  <c:v>Commodities and Transactions not Elsewhere Classified in the PSCC</c:v>
                </c:pt>
                <c:pt idx="2">
                  <c:v>Chemical and Related Products, n. e. c.</c:v>
                </c:pt>
                <c:pt idx="3">
                  <c:v>Mineral Fuels, Lubricants and     Related Materials</c:v>
                </c:pt>
                <c:pt idx="4">
                  <c:v>Animal and Vegetable Oils,    Fats and Waxes</c:v>
                </c:pt>
                <c:pt idx="5">
                  <c:v>Beverages and Tobacco</c:v>
                </c:pt>
                <c:pt idx="6">
                  <c:v>Crude Materials, Inedible,    Except Fuels</c:v>
                </c:pt>
                <c:pt idx="7">
                  <c:v>Manufactured Goods Classified Chiefly by Material</c:v>
                </c:pt>
                <c:pt idx="8">
                  <c:v>Machinery and Transport Equipment</c:v>
                </c:pt>
                <c:pt idx="9">
                  <c:v>Food and Live Animals</c:v>
                </c:pt>
              </c:strCache>
            </c:strRef>
          </c:cat>
          <c:val>
            <c:numRef>
              <c:f>'fig 5'!$B$17:$B$26</c:f>
              <c:numCache>
                <c:formatCode>#,##0.00_);\(#,##0.00\)</c:formatCode>
                <c:ptCount val="10"/>
                <c:pt idx="0">
                  <c:v>3.8393171000000004E-2</c:v>
                </c:pt>
                <c:pt idx="1">
                  <c:v>0.49599755699999998</c:v>
                </c:pt>
                <c:pt idx="2">
                  <c:v>0.60261254099999972</c:v>
                </c:pt>
                <c:pt idx="3">
                  <c:v>1.0699145719999998</c:v>
                </c:pt>
                <c:pt idx="4">
                  <c:v>1.23213722</c:v>
                </c:pt>
                <c:pt idx="5">
                  <c:v>0.97176646899999997</c:v>
                </c:pt>
                <c:pt idx="6">
                  <c:v>1.0330724819999999</c:v>
                </c:pt>
                <c:pt idx="7">
                  <c:v>2.5741717840000002</c:v>
                </c:pt>
                <c:pt idx="8">
                  <c:v>3.869802631999999</c:v>
                </c:pt>
                <c:pt idx="9">
                  <c:v>5.6943793359999981</c:v>
                </c:pt>
              </c:numCache>
            </c:numRef>
          </c:val>
        </c:ser>
        <c:ser>
          <c:idx val="1"/>
          <c:order val="1"/>
          <c:tx>
            <c:strRef>
              <c:f>'fig 5'!$C$16</c:f>
              <c:strCache>
                <c:ptCount val="1"/>
                <c:pt idx="0">
                  <c:v>1st Quarter 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dLbls>
            <c:txPr>
              <a:bodyPr/>
              <a:lstStyle/>
              <a:p>
                <a:pPr>
                  <a:defRPr lang="en-PH" sz="700"/>
                </a:pPr>
                <a:endParaRPr lang="en-US"/>
              </a:p>
            </c:txPr>
            <c:dLblPos val="outEnd"/>
            <c:showVal val="1"/>
          </c:dLbls>
          <c:cat>
            <c:strRef>
              <c:f>'fig 5'!$A$17:$A$26</c:f>
              <c:strCache>
                <c:ptCount val="10"/>
                <c:pt idx="0">
                  <c:v>Miscellaneous Manufactured   Articles</c:v>
                </c:pt>
                <c:pt idx="1">
                  <c:v>Commodities and Transactions not Elsewhere Classified in the PSCC</c:v>
                </c:pt>
                <c:pt idx="2">
                  <c:v>Chemical and Related Products, n. e. c.</c:v>
                </c:pt>
                <c:pt idx="3">
                  <c:v>Mineral Fuels, Lubricants and     Related Materials</c:v>
                </c:pt>
                <c:pt idx="4">
                  <c:v>Animal and Vegetable Oils,    Fats and Waxes</c:v>
                </c:pt>
                <c:pt idx="5">
                  <c:v>Beverages and Tobacco</c:v>
                </c:pt>
                <c:pt idx="6">
                  <c:v>Crude Materials, Inedible,    Except Fuels</c:v>
                </c:pt>
                <c:pt idx="7">
                  <c:v>Manufactured Goods Classified Chiefly by Material</c:v>
                </c:pt>
                <c:pt idx="8">
                  <c:v>Machinery and Transport Equipment</c:v>
                </c:pt>
                <c:pt idx="9">
                  <c:v>Food and Live Animals</c:v>
                </c:pt>
              </c:strCache>
            </c:strRef>
          </c:cat>
          <c:val>
            <c:numRef>
              <c:f>'fig 5'!$C$17:$C$26</c:f>
              <c:numCache>
                <c:formatCode>#,##0.00_);\(#,##0.00\)</c:formatCode>
                <c:ptCount val="10"/>
                <c:pt idx="0">
                  <c:v>2.7758208000000006E-2</c:v>
                </c:pt>
                <c:pt idx="1">
                  <c:v>0.29237104200000008</c:v>
                </c:pt>
                <c:pt idx="2">
                  <c:v>0.75682918100000018</c:v>
                </c:pt>
                <c:pt idx="3">
                  <c:v>0.79257830799999973</c:v>
                </c:pt>
                <c:pt idx="4">
                  <c:v>0.90626966499999972</c:v>
                </c:pt>
                <c:pt idx="5">
                  <c:v>1.3759406279999995</c:v>
                </c:pt>
                <c:pt idx="6">
                  <c:v>1.5436349579999991</c:v>
                </c:pt>
                <c:pt idx="7">
                  <c:v>1.6158494959999996</c:v>
                </c:pt>
                <c:pt idx="8">
                  <c:v>3.704840811</c:v>
                </c:pt>
                <c:pt idx="9">
                  <c:v>4.2901549209999974</c:v>
                </c:pt>
              </c:numCache>
            </c:numRef>
          </c:val>
        </c:ser>
        <c:dLbls>
          <c:showVal val="1"/>
        </c:dLbls>
        <c:axId val="39341056"/>
        <c:axId val="56754944"/>
      </c:barChart>
      <c:catAx>
        <c:axId val="39341056"/>
        <c:scaling>
          <c:orientation val="minMax"/>
        </c:scaling>
        <c:axPos val="l"/>
        <c:tickLblPos val="nextTo"/>
        <c:txPr>
          <a:bodyPr/>
          <a:lstStyle/>
          <a:p>
            <a:pPr>
              <a:defRPr lang="en-PH"/>
            </a:pPr>
            <a:endParaRPr lang="en-US"/>
          </a:p>
        </c:txPr>
        <c:crossAx val="56754944"/>
        <c:crosses val="autoZero"/>
        <c:auto val="1"/>
        <c:lblAlgn val="ctr"/>
        <c:lblOffset val="100"/>
      </c:catAx>
      <c:valAx>
        <c:axId val="56754944"/>
        <c:scaling>
          <c:orientation val="minMax"/>
        </c:scaling>
        <c:axPos val="b"/>
        <c:majorGridlines>
          <c:spPr>
            <a:ln>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a:ln>
          </c:spPr>
        </c:majorGridlines>
        <c:title>
          <c:tx>
            <c:rich>
              <a:bodyPr/>
              <a:lstStyle/>
              <a:p>
                <a:pPr>
                  <a:defRPr lang="en-PH"/>
                </a:pPr>
                <a:r>
                  <a:rPr lang="en-PH"/>
                  <a:t>Value in Billion Pesos</a:t>
                </a:r>
              </a:p>
            </c:rich>
          </c:tx>
          <c:layout/>
        </c:title>
        <c:numFmt formatCode="#,##0.00_);\(#,##0.00\)" sourceLinked="1"/>
        <c:tickLblPos val="nextTo"/>
        <c:txPr>
          <a:bodyPr/>
          <a:lstStyle/>
          <a:p>
            <a:pPr>
              <a:defRPr lang="en-PH"/>
            </a:pPr>
            <a:endParaRPr lang="en-US"/>
          </a:p>
        </c:txPr>
        <c:crossAx val="39341056"/>
        <c:crosses val="autoZero"/>
        <c:crossBetween val="between"/>
        <c:majorUnit val="1"/>
      </c:valAx>
    </c:plotArea>
    <c:legend>
      <c:legendPos val="r"/>
      <c:layout>
        <c:manualLayout>
          <c:xMode val="edge"/>
          <c:yMode val="edge"/>
          <c:x val="0.75235511733140248"/>
          <c:y val="0.54052406978539447"/>
          <c:w val="0.20906257605137343"/>
          <c:h val="0.10253798300421506"/>
        </c:manualLayout>
      </c:layout>
      <c:overlay val="1"/>
      <c:txPr>
        <a:bodyPr/>
        <a:lstStyle/>
        <a:p>
          <a:pPr>
            <a:defRPr lang="en-PH"/>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a:pPr>
            <a:r>
              <a:rPr lang="en-PH" sz="1000" b="1" i="0" baseline="0">
                <a:latin typeface="Arial" pitchFamily="34" charset="0"/>
                <a:cs typeface="Arial" pitchFamily="34" charset="0"/>
              </a:rPr>
              <a:t>Figure 6 Outflow Value by Region</a:t>
            </a:r>
            <a:endParaRPr lang="en-PH" sz="1000">
              <a:latin typeface="Arial" pitchFamily="34" charset="0"/>
              <a:cs typeface="Arial" pitchFamily="34" charset="0"/>
            </a:endParaRPr>
          </a:p>
          <a:p>
            <a:pPr>
              <a:defRPr lang="en-PH"/>
            </a:pPr>
            <a:r>
              <a:rPr lang="en-PH" sz="1000" b="1" i="0" baseline="0">
                <a:latin typeface="Arial" pitchFamily="34" charset="0"/>
                <a:cs typeface="Arial" pitchFamily="34" charset="0"/>
              </a:rPr>
              <a:t>First Quarter 2019 and 2018</a:t>
            </a:r>
          </a:p>
        </c:rich>
      </c:tx>
      <c:layout/>
    </c:title>
    <c:plotArea>
      <c:layout/>
      <c:barChart>
        <c:barDir val="bar"/>
        <c:grouping val="clustered"/>
        <c:ser>
          <c:idx val="0"/>
          <c:order val="0"/>
          <c:tx>
            <c:strRef>
              <c:f>'fig 6'!$C$1</c:f>
              <c:strCache>
                <c:ptCount val="1"/>
                <c:pt idx="0">
                  <c:v>First Quarter 2018</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dLbls>
            <c:dLbl>
              <c:idx val="0"/>
              <c:layout>
                <c:manualLayout>
                  <c:x val="0"/>
                  <c:y val="7.4906367041198737E-3"/>
                </c:manualLayout>
              </c:layout>
              <c:dLblPos val="outEnd"/>
              <c:showVal val="1"/>
            </c:dLbl>
            <c:dLbl>
              <c:idx val="1"/>
              <c:layout>
                <c:manualLayout>
                  <c:x val="-3.9421589062526696E-3"/>
                  <c:y val="7.4906367041198737E-3"/>
                </c:manualLayout>
              </c:layout>
              <c:dLblPos val="outEnd"/>
              <c:showVal val="1"/>
            </c:dLbl>
            <c:dLbl>
              <c:idx val="2"/>
              <c:layout>
                <c:manualLayout>
                  <c:x val="-5.9132383593790121E-3"/>
                  <c:y val="3.7453183520599381E-3"/>
                </c:manualLayout>
              </c:layout>
              <c:dLblPos val="outEnd"/>
              <c:showVal val="1"/>
            </c:dLbl>
            <c:dLbl>
              <c:idx val="3"/>
              <c:layout>
                <c:manualLayout>
                  <c:x val="-9.8553972656317042E-3"/>
                  <c:y val="3.7453183520599381E-3"/>
                </c:manualLayout>
              </c:layout>
              <c:dLblPos val="outEnd"/>
              <c:showVal val="1"/>
            </c:dLbl>
            <c:dLbl>
              <c:idx val="4"/>
              <c:layout>
                <c:manualLayout>
                  <c:x val="-7.8843178125053374E-3"/>
                  <c:y val="7.4906367041198737E-3"/>
                </c:manualLayout>
              </c:layout>
              <c:dLblPos val="outEnd"/>
              <c:showVal val="1"/>
            </c:dLbl>
            <c:dLbl>
              <c:idx val="5"/>
              <c:layout>
                <c:manualLayout>
                  <c:x val="-5.9132383593790121E-3"/>
                  <c:y val="1.1235955056179844E-2"/>
                </c:manualLayout>
              </c:layout>
              <c:dLblPos val="outEnd"/>
              <c:showVal val="1"/>
            </c:dLbl>
            <c:dLbl>
              <c:idx val="6"/>
              <c:layout>
                <c:manualLayout>
                  <c:x val="-5.9132383593790121E-3"/>
                  <c:y val="1.1235955056179775E-2"/>
                </c:manualLayout>
              </c:layout>
              <c:dLblPos val="outEnd"/>
              <c:showVal val="1"/>
            </c:dLbl>
            <c:dLbl>
              <c:idx val="7"/>
              <c:layout>
                <c:manualLayout>
                  <c:x val="-5.9132383593790121E-3"/>
                  <c:y val="0"/>
                </c:manualLayout>
              </c:layout>
              <c:dLblPos val="outEnd"/>
              <c:showVal val="1"/>
            </c:dLbl>
            <c:dLbl>
              <c:idx val="8"/>
              <c:layout>
                <c:manualLayout>
                  <c:x val="-3.9421589062526696E-3"/>
                  <c:y val="1.1235955056179775E-2"/>
                </c:manualLayout>
              </c:layout>
              <c:dLblPos val="outEnd"/>
              <c:showVal val="1"/>
            </c:dLbl>
            <c:dLbl>
              <c:idx val="9"/>
              <c:layout>
                <c:manualLayout>
                  <c:x val="-1.9710794531263387E-3"/>
                  <c:y val="7.4906367041198737E-3"/>
                </c:manualLayout>
              </c:layout>
              <c:dLblPos val="outEnd"/>
              <c:showVal val="1"/>
            </c:dLbl>
            <c:dLbl>
              <c:idx val="10"/>
              <c:layout>
                <c:manualLayout>
                  <c:x val="-3.9421589062527398E-3"/>
                  <c:y val="7.4906367041198737E-3"/>
                </c:manualLayout>
              </c:layout>
              <c:dLblPos val="outEnd"/>
              <c:showVal val="1"/>
            </c:dLbl>
            <c:dLbl>
              <c:idx val="11"/>
              <c:layout>
                <c:manualLayout>
                  <c:x val="-1.9710794531263387E-3"/>
                  <c:y val="7.4906367041198737E-3"/>
                </c:manualLayout>
              </c:layout>
              <c:dLblPos val="outEnd"/>
              <c:showVal val="1"/>
            </c:dLbl>
            <c:dLbl>
              <c:idx val="12"/>
              <c:layout>
                <c:manualLayout>
                  <c:x val="-5.9132383593790121E-3"/>
                  <c:y val="7.4906367041198737E-3"/>
                </c:manualLayout>
              </c:layout>
              <c:dLblPos val="outEnd"/>
              <c:showVal val="1"/>
            </c:dLbl>
            <c:txPr>
              <a:bodyPr/>
              <a:lstStyle/>
              <a:p>
                <a:pPr>
                  <a:defRPr lang="en-PH" sz="600"/>
                </a:pPr>
                <a:endParaRPr lang="en-US"/>
              </a:p>
            </c:txPr>
            <c:dLblPos val="outEnd"/>
            <c:showVal val="1"/>
          </c:dLbls>
          <c:cat>
            <c:strRef>
              <c:f>'fig 6'!$B$2:$B$15</c:f>
              <c:strCache>
                <c:ptCount val="14"/>
                <c:pt idx="0">
                  <c:v>IVa</c:v>
                </c:pt>
                <c:pt idx="1">
                  <c:v>MIMAROPA</c:v>
                </c:pt>
                <c:pt idx="2">
                  <c:v>ARMM</c:v>
                </c:pt>
                <c:pt idx="3">
                  <c:v>XI</c:v>
                </c:pt>
                <c:pt idx="4">
                  <c:v>XII</c:v>
                </c:pt>
                <c:pt idx="5">
                  <c:v>V</c:v>
                </c:pt>
                <c:pt idx="6">
                  <c:v>IX</c:v>
                </c:pt>
                <c:pt idx="7">
                  <c:v>Caraga</c:v>
                </c:pt>
                <c:pt idx="8">
                  <c:v>III</c:v>
                </c:pt>
                <c:pt idx="9">
                  <c:v>X</c:v>
                </c:pt>
                <c:pt idx="10">
                  <c:v>VI</c:v>
                </c:pt>
                <c:pt idx="11">
                  <c:v>VIII</c:v>
                </c:pt>
                <c:pt idx="12">
                  <c:v>VII</c:v>
                </c:pt>
                <c:pt idx="13">
                  <c:v>NCR</c:v>
                </c:pt>
              </c:strCache>
            </c:strRef>
          </c:cat>
          <c:val>
            <c:numRef>
              <c:f>'fig 6'!$C$2:$C$15</c:f>
              <c:numCache>
                <c:formatCode>#,##0.00_);\(#,##0.00\)</c:formatCode>
                <c:ptCount val="14"/>
                <c:pt idx="0">
                  <c:v>0.17</c:v>
                </c:pt>
                <c:pt idx="1">
                  <c:v>0.58000000000000007</c:v>
                </c:pt>
                <c:pt idx="2">
                  <c:v>2.08</c:v>
                </c:pt>
                <c:pt idx="3">
                  <c:v>6.35</c:v>
                </c:pt>
                <c:pt idx="4">
                  <c:v>3.74</c:v>
                </c:pt>
                <c:pt idx="5">
                  <c:v>3.08</c:v>
                </c:pt>
                <c:pt idx="6">
                  <c:v>4.34</c:v>
                </c:pt>
                <c:pt idx="7">
                  <c:v>1.3</c:v>
                </c:pt>
                <c:pt idx="8">
                  <c:v>9.65</c:v>
                </c:pt>
                <c:pt idx="9">
                  <c:v>15.31</c:v>
                </c:pt>
                <c:pt idx="10">
                  <c:v>30.4</c:v>
                </c:pt>
                <c:pt idx="11">
                  <c:v>25.1</c:v>
                </c:pt>
                <c:pt idx="12">
                  <c:v>35.160000000000011</c:v>
                </c:pt>
                <c:pt idx="13">
                  <c:v>37.620000000000012</c:v>
                </c:pt>
              </c:numCache>
            </c:numRef>
          </c:val>
        </c:ser>
        <c:ser>
          <c:idx val="1"/>
          <c:order val="1"/>
          <c:tx>
            <c:strRef>
              <c:f>'fig 6'!$D$1</c:f>
              <c:strCache>
                <c:ptCount val="1"/>
                <c:pt idx="0">
                  <c:v>First Quarter 2019</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dLbls>
            <c:dLbl>
              <c:idx val="5"/>
              <c:layout>
                <c:manualLayout>
                  <c:x val="-5.9132383593790121E-3"/>
                  <c:y val="3.7453183520598644E-3"/>
                </c:manualLayout>
              </c:layout>
              <c:dLblPos val="outEnd"/>
              <c:showVal val="1"/>
            </c:dLbl>
            <c:dLbl>
              <c:idx val="7"/>
              <c:layout>
                <c:manualLayout>
                  <c:x val="-3.9421589062526696E-3"/>
                  <c:y val="-3.7453183520599381E-3"/>
                </c:manualLayout>
              </c:layout>
              <c:dLblPos val="outEnd"/>
              <c:showVal val="1"/>
            </c:dLbl>
            <c:dLbl>
              <c:idx val="9"/>
              <c:layout>
                <c:manualLayout>
                  <c:x val="-5.9132383593790121E-3"/>
                  <c:y val="0"/>
                </c:manualLayout>
              </c:layout>
              <c:dLblPos val="outEnd"/>
              <c:showVal val="1"/>
            </c:dLbl>
            <c:dLbl>
              <c:idx val="13"/>
              <c:layout>
                <c:manualLayout>
                  <c:x val="-5.9132383593790121E-3"/>
                  <c:y val="0"/>
                </c:manualLayout>
              </c:layout>
              <c:dLblPos val="outEnd"/>
              <c:showVal val="1"/>
            </c:dLbl>
            <c:txPr>
              <a:bodyPr/>
              <a:lstStyle/>
              <a:p>
                <a:pPr>
                  <a:defRPr lang="en-PH" sz="600"/>
                </a:pPr>
                <a:endParaRPr lang="en-US"/>
              </a:p>
            </c:txPr>
            <c:dLblPos val="outEnd"/>
            <c:showVal val="1"/>
          </c:dLbls>
          <c:cat>
            <c:strRef>
              <c:f>'fig 6'!$B$2:$B$15</c:f>
              <c:strCache>
                <c:ptCount val="14"/>
                <c:pt idx="0">
                  <c:v>IVa</c:v>
                </c:pt>
                <c:pt idx="1">
                  <c:v>MIMAROPA</c:v>
                </c:pt>
                <c:pt idx="2">
                  <c:v>ARMM</c:v>
                </c:pt>
                <c:pt idx="3">
                  <c:v>XI</c:v>
                </c:pt>
                <c:pt idx="4">
                  <c:v>XII</c:v>
                </c:pt>
                <c:pt idx="5">
                  <c:v>V</c:v>
                </c:pt>
                <c:pt idx="6">
                  <c:v>IX</c:v>
                </c:pt>
                <c:pt idx="7">
                  <c:v>Caraga</c:v>
                </c:pt>
                <c:pt idx="8">
                  <c:v>III</c:v>
                </c:pt>
                <c:pt idx="9">
                  <c:v>X</c:v>
                </c:pt>
                <c:pt idx="10">
                  <c:v>VI</c:v>
                </c:pt>
                <c:pt idx="11">
                  <c:v>VIII</c:v>
                </c:pt>
                <c:pt idx="12">
                  <c:v>VII</c:v>
                </c:pt>
                <c:pt idx="13">
                  <c:v>NCR</c:v>
                </c:pt>
              </c:strCache>
            </c:strRef>
          </c:cat>
          <c:val>
            <c:numRef>
              <c:f>'fig 6'!$D$2:$D$15</c:f>
              <c:numCache>
                <c:formatCode>#,##0.00_);\(#,##0.00\)</c:formatCode>
                <c:ptCount val="14"/>
                <c:pt idx="0">
                  <c:v>2.0000000000000007E-2</c:v>
                </c:pt>
                <c:pt idx="1">
                  <c:v>1.3900000000000001</c:v>
                </c:pt>
                <c:pt idx="2">
                  <c:v>2.0099999999999998</c:v>
                </c:pt>
                <c:pt idx="3">
                  <c:v>2.48</c:v>
                </c:pt>
                <c:pt idx="4">
                  <c:v>2.8299999999999992</c:v>
                </c:pt>
                <c:pt idx="5">
                  <c:v>3.3</c:v>
                </c:pt>
                <c:pt idx="6">
                  <c:v>4</c:v>
                </c:pt>
                <c:pt idx="7">
                  <c:v>5.8199999999999985</c:v>
                </c:pt>
                <c:pt idx="8">
                  <c:v>10.93</c:v>
                </c:pt>
                <c:pt idx="9">
                  <c:v>17.579999999999991</c:v>
                </c:pt>
                <c:pt idx="10">
                  <c:v>21.75</c:v>
                </c:pt>
                <c:pt idx="11">
                  <c:v>25.77</c:v>
                </c:pt>
                <c:pt idx="12">
                  <c:v>30.23</c:v>
                </c:pt>
                <c:pt idx="13">
                  <c:v>45.63</c:v>
                </c:pt>
              </c:numCache>
            </c:numRef>
          </c:val>
        </c:ser>
        <c:axId val="56969472"/>
        <c:axId val="57335808"/>
      </c:barChart>
      <c:catAx>
        <c:axId val="56969472"/>
        <c:scaling>
          <c:orientation val="minMax"/>
        </c:scaling>
        <c:axPos val="l"/>
        <c:majorTickMark val="none"/>
        <c:tickLblPos val="nextTo"/>
        <c:txPr>
          <a:bodyPr/>
          <a:lstStyle/>
          <a:p>
            <a:pPr>
              <a:defRPr lang="en-PH"/>
            </a:pPr>
            <a:endParaRPr lang="en-US"/>
          </a:p>
        </c:txPr>
        <c:crossAx val="57335808"/>
        <c:crosses val="autoZero"/>
        <c:auto val="1"/>
        <c:lblAlgn val="ctr"/>
        <c:lblOffset val="100"/>
      </c:catAx>
      <c:valAx>
        <c:axId val="57335808"/>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a:lstStyle/>
              <a:p>
                <a:pPr>
                  <a:defRPr lang="en-PH"/>
                </a:pPr>
                <a:r>
                  <a:rPr lang="en-US"/>
                  <a:t>Value in Billion Pesos</a:t>
                </a:r>
              </a:p>
            </c:rich>
          </c:tx>
          <c:layout/>
        </c:title>
        <c:numFmt formatCode="#,##0.00_);\(#,##0.00\)" sourceLinked="1"/>
        <c:majorTickMark val="in"/>
        <c:tickLblPos val="low"/>
        <c:txPr>
          <a:bodyPr rot="0" vert="horz" anchor="b" anchorCtr="1"/>
          <a:lstStyle/>
          <a:p>
            <a:pPr>
              <a:defRPr lang="en-PH"/>
            </a:pPr>
            <a:endParaRPr lang="en-US"/>
          </a:p>
        </c:txPr>
        <c:crossAx val="56969472"/>
        <c:crosses val="autoZero"/>
        <c:crossBetween val="between"/>
      </c:valAx>
    </c:plotArea>
    <c:legend>
      <c:legendPos val="r"/>
      <c:layout>
        <c:manualLayout>
          <c:xMode val="edge"/>
          <c:yMode val="edge"/>
          <c:x val="0.67753544860146964"/>
          <c:y val="0.53339732814297058"/>
          <c:w val="0.25566275800769178"/>
          <c:h val="0.10150322118826061"/>
        </c:manualLayout>
      </c:layout>
      <c:overlay val="1"/>
      <c:txPr>
        <a:bodyPr/>
        <a:lstStyle/>
        <a:p>
          <a:pPr>
            <a:defRPr lang="en-PH"/>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a:pPr>
            <a:r>
              <a:rPr lang="en-PH" sz="1000" b="1" i="0" baseline="0">
                <a:latin typeface="Arial" pitchFamily="34" charset="0"/>
                <a:cs typeface="Arial" pitchFamily="34" charset="0"/>
              </a:rPr>
              <a:t>Figure 7 Inflow Value by Region</a:t>
            </a:r>
          </a:p>
          <a:p>
            <a:pPr>
              <a:defRPr lang="en-PH"/>
            </a:pPr>
            <a:r>
              <a:rPr lang="en-PH" sz="1000" b="1" i="0" baseline="0">
                <a:latin typeface="Arial" pitchFamily="34" charset="0"/>
                <a:cs typeface="Arial" pitchFamily="34" charset="0"/>
              </a:rPr>
              <a:t>First Quarter 2019 and 2018</a:t>
            </a:r>
            <a:endParaRPr lang="en-PH" sz="1000">
              <a:latin typeface="Arial" pitchFamily="34" charset="0"/>
              <a:cs typeface="Arial" pitchFamily="34" charset="0"/>
            </a:endParaRPr>
          </a:p>
        </c:rich>
      </c:tx>
      <c:layout/>
    </c:title>
    <c:plotArea>
      <c:layout/>
      <c:barChart>
        <c:barDir val="bar"/>
        <c:grouping val="clustered"/>
        <c:ser>
          <c:idx val="0"/>
          <c:order val="0"/>
          <c:tx>
            <c:strRef>
              <c:f>'fig 5 final'!$C$53</c:f>
              <c:strCache>
                <c:ptCount val="1"/>
                <c:pt idx="0">
                  <c:v>First Quarter 2018</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dPt>
            <c:idx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dPt>
          <c:dLbls>
            <c:txPr>
              <a:bodyPr/>
              <a:lstStyle/>
              <a:p>
                <a:pPr>
                  <a:defRPr lang="en-PH" sz="600"/>
                </a:pPr>
                <a:endParaRPr lang="en-US"/>
              </a:p>
            </c:txPr>
            <c:dLblPos val="outEnd"/>
            <c:showVal val="1"/>
          </c:dLbls>
          <c:cat>
            <c:strRef>
              <c:f>'fig 5 final'!$B$54:$B$69</c:f>
              <c:strCache>
                <c:ptCount val="16"/>
                <c:pt idx="0">
                  <c:v>II</c:v>
                </c:pt>
                <c:pt idx="1">
                  <c:v>I</c:v>
                </c:pt>
                <c:pt idx="2">
                  <c:v>ARMM</c:v>
                </c:pt>
                <c:pt idx="3">
                  <c:v>III</c:v>
                </c:pt>
                <c:pt idx="4">
                  <c:v>XII</c:v>
                </c:pt>
                <c:pt idx="5">
                  <c:v>V</c:v>
                </c:pt>
                <c:pt idx="6">
                  <c:v>MIMAROPA</c:v>
                </c:pt>
                <c:pt idx="7">
                  <c:v>IVa</c:v>
                </c:pt>
                <c:pt idx="8">
                  <c:v>XI</c:v>
                </c:pt>
                <c:pt idx="9">
                  <c:v>VIII</c:v>
                </c:pt>
                <c:pt idx="10">
                  <c:v>IX</c:v>
                </c:pt>
                <c:pt idx="11">
                  <c:v>X</c:v>
                </c:pt>
                <c:pt idx="12">
                  <c:v>NCR</c:v>
                </c:pt>
                <c:pt idx="13">
                  <c:v>Caraga</c:v>
                </c:pt>
                <c:pt idx="14">
                  <c:v>VI</c:v>
                </c:pt>
                <c:pt idx="15">
                  <c:v>VII</c:v>
                </c:pt>
              </c:strCache>
            </c:strRef>
          </c:cat>
          <c:val>
            <c:numRef>
              <c:f>'fig 5 final'!$C$54:$C$69</c:f>
              <c:numCache>
                <c:formatCode>General</c:formatCode>
                <c:ptCount val="16"/>
                <c:pt idx="0">
                  <c:v>0</c:v>
                </c:pt>
                <c:pt idx="1">
                  <c:v>0.37000000000000022</c:v>
                </c:pt>
                <c:pt idx="2">
                  <c:v>0.60000000000000042</c:v>
                </c:pt>
                <c:pt idx="3">
                  <c:v>0.97000000000000042</c:v>
                </c:pt>
                <c:pt idx="4">
                  <c:v>2.5299999999999998</c:v>
                </c:pt>
                <c:pt idx="5">
                  <c:v>2.8699999999999997</c:v>
                </c:pt>
                <c:pt idx="6">
                  <c:v>3.84</c:v>
                </c:pt>
                <c:pt idx="7">
                  <c:v>4.3599999999999985</c:v>
                </c:pt>
                <c:pt idx="8">
                  <c:v>5.73</c:v>
                </c:pt>
                <c:pt idx="9">
                  <c:v>8.5500000000000007</c:v>
                </c:pt>
                <c:pt idx="10">
                  <c:v>10.51</c:v>
                </c:pt>
                <c:pt idx="11">
                  <c:v>22.779999999999987</c:v>
                </c:pt>
                <c:pt idx="12" formatCode="0.00">
                  <c:v>25.03</c:v>
                </c:pt>
                <c:pt idx="13">
                  <c:v>26.73</c:v>
                </c:pt>
                <c:pt idx="14">
                  <c:v>29.09</c:v>
                </c:pt>
                <c:pt idx="15">
                  <c:v>30.9</c:v>
                </c:pt>
              </c:numCache>
            </c:numRef>
          </c:val>
        </c:ser>
        <c:ser>
          <c:idx val="1"/>
          <c:order val="1"/>
          <c:tx>
            <c:strRef>
              <c:f>'fig 5 final'!$D$53</c:f>
              <c:strCache>
                <c:ptCount val="1"/>
                <c:pt idx="0">
                  <c:v>First Quarter 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dP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dPt>
          <c:dLbls>
            <c:txPr>
              <a:bodyPr/>
              <a:lstStyle/>
              <a:p>
                <a:pPr>
                  <a:defRPr lang="en-PH" sz="600"/>
                </a:pPr>
                <a:endParaRPr lang="en-US"/>
              </a:p>
            </c:txPr>
            <c:dLblPos val="outEnd"/>
            <c:showVal val="1"/>
          </c:dLbls>
          <c:cat>
            <c:strRef>
              <c:f>'fig 5 final'!$B$54:$B$69</c:f>
              <c:strCache>
                <c:ptCount val="16"/>
                <c:pt idx="0">
                  <c:v>II</c:v>
                </c:pt>
                <c:pt idx="1">
                  <c:v>I</c:v>
                </c:pt>
                <c:pt idx="2">
                  <c:v>ARMM</c:v>
                </c:pt>
                <c:pt idx="3">
                  <c:v>III</c:v>
                </c:pt>
                <c:pt idx="4">
                  <c:v>XII</c:v>
                </c:pt>
                <c:pt idx="5">
                  <c:v>V</c:v>
                </c:pt>
                <c:pt idx="6">
                  <c:v>MIMAROPA</c:v>
                </c:pt>
                <c:pt idx="7">
                  <c:v>IVa</c:v>
                </c:pt>
                <c:pt idx="8">
                  <c:v>XI</c:v>
                </c:pt>
                <c:pt idx="9">
                  <c:v>VIII</c:v>
                </c:pt>
                <c:pt idx="10">
                  <c:v>IX</c:v>
                </c:pt>
                <c:pt idx="11">
                  <c:v>X</c:v>
                </c:pt>
                <c:pt idx="12">
                  <c:v>NCR</c:v>
                </c:pt>
                <c:pt idx="13">
                  <c:v>Caraga</c:v>
                </c:pt>
                <c:pt idx="14">
                  <c:v>VI</c:v>
                </c:pt>
                <c:pt idx="15">
                  <c:v>VII</c:v>
                </c:pt>
              </c:strCache>
            </c:strRef>
          </c:cat>
          <c:val>
            <c:numRef>
              <c:f>'fig 5 final'!$D$54:$D$69</c:f>
              <c:numCache>
                <c:formatCode>General</c:formatCode>
                <c:ptCount val="16"/>
                <c:pt idx="0">
                  <c:v>1.0000000000000005E-2</c:v>
                </c:pt>
                <c:pt idx="1">
                  <c:v>0.9</c:v>
                </c:pt>
                <c:pt idx="2">
                  <c:v>0.75000000000000044</c:v>
                </c:pt>
                <c:pt idx="3">
                  <c:v>2.09</c:v>
                </c:pt>
                <c:pt idx="4">
                  <c:v>2.71</c:v>
                </c:pt>
                <c:pt idx="5">
                  <c:v>1.74</c:v>
                </c:pt>
                <c:pt idx="6">
                  <c:v>5.1099999999999985</c:v>
                </c:pt>
                <c:pt idx="7">
                  <c:v>4.4700000000000024</c:v>
                </c:pt>
                <c:pt idx="8">
                  <c:v>6.91</c:v>
                </c:pt>
                <c:pt idx="9">
                  <c:v>12.34</c:v>
                </c:pt>
                <c:pt idx="10">
                  <c:v>10.56</c:v>
                </c:pt>
                <c:pt idx="11">
                  <c:v>18.45</c:v>
                </c:pt>
                <c:pt idx="12">
                  <c:v>20.079999999999988</c:v>
                </c:pt>
                <c:pt idx="13">
                  <c:v>30.32</c:v>
                </c:pt>
                <c:pt idx="14">
                  <c:v>23.74</c:v>
                </c:pt>
                <c:pt idx="15">
                  <c:v>33.590000000000003</c:v>
                </c:pt>
              </c:numCache>
            </c:numRef>
          </c:val>
        </c:ser>
        <c:dLbls>
          <c:showVal val="1"/>
        </c:dLbls>
        <c:axId val="72616192"/>
        <c:axId val="72617984"/>
      </c:barChart>
      <c:catAx>
        <c:axId val="72616192"/>
        <c:scaling>
          <c:orientation val="minMax"/>
        </c:scaling>
        <c:axPos val="l"/>
        <c:majorTickMark val="none"/>
        <c:tickLblPos val="nextTo"/>
        <c:txPr>
          <a:bodyPr/>
          <a:lstStyle/>
          <a:p>
            <a:pPr>
              <a:defRPr lang="en-PH"/>
            </a:pPr>
            <a:endParaRPr lang="en-US"/>
          </a:p>
        </c:txPr>
        <c:crossAx val="72617984"/>
        <c:crosses val="autoZero"/>
        <c:auto val="1"/>
        <c:lblAlgn val="ctr"/>
        <c:lblOffset val="100"/>
      </c:catAx>
      <c:valAx>
        <c:axId val="72617984"/>
        <c:scaling>
          <c:orientation val="minMax"/>
          <c:max val="35"/>
        </c:scaling>
        <c:axPos val="b"/>
        <c:majorGridlines>
          <c:spPr>
            <a:ln>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a:ln>
          </c:spPr>
        </c:majorGridlines>
        <c:title>
          <c:tx>
            <c:rich>
              <a:bodyPr/>
              <a:lstStyle/>
              <a:p>
                <a:pPr>
                  <a:defRPr lang="en-PH"/>
                </a:pPr>
                <a:r>
                  <a:rPr lang="en-US"/>
                  <a:t>Value in Billion Pesos</a:t>
                </a:r>
              </a:p>
            </c:rich>
          </c:tx>
          <c:layout/>
        </c:title>
        <c:numFmt formatCode="General" sourceLinked="1"/>
        <c:majorTickMark val="in"/>
        <c:tickLblPos val="low"/>
        <c:txPr>
          <a:bodyPr/>
          <a:lstStyle/>
          <a:p>
            <a:pPr>
              <a:defRPr lang="en-PH"/>
            </a:pPr>
            <a:endParaRPr lang="en-US"/>
          </a:p>
        </c:txPr>
        <c:crossAx val="72616192"/>
        <c:crosses val="autoZero"/>
        <c:crossBetween val="between"/>
      </c:valAx>
    </c:plotArea>
    <c:legend>
      <c:legendPos val="r"/>
      <c:layout>
        <c:manualLayout>
          <c:xMode val="edge"/>
          <c:yMode val="edge"/>
          <c:x val="0.72899371223457077"/>
          <c:y val="0.50628025305190649"/>
          <c:w val="0.23446189915915691"/>
          <c:h val="0.11103066027361116"/>
        </c:manualLayout>
      </c:layout>
      <c:overlay val="1"/>
      <c:txPr>
        <a:bodyPr/>
        <a:lstStyle/>
        <a:p>
          <a:pPr>
            <a:defRPr lang="en-PH"/>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PH"/>
            </a:pPr>
            <a:r>
              <a:rPr lang="en-PH" sz="1000">
                <a:latin typeface="Arial" pitchFamily="34" charset="0"/>
                <a:cs typeface="Arial" pitchFamily="34" charset="0"/>
              </a:rPr>
              <a:t>Figure</a:t>
            </a:r>
            <a:r>
              <a:rPr lang="en-PH" sz="1000" baseline="0">
                <a:latin typeface="Arial" pitchFamily="34" charset="0"/>
                <a:cs typeface="Arial" pitchFamily="34" charset="0"/>
              </a:rPr>
              <a:t> 8 Trade Balance by Region: First Quater 2019 and 2018</a:t>
            </a:r>
            <a:endParaRPr lang="en-PH" sz="1000">
              <a:latin typeface="Arial" pitchFamily="34" charset="0"/>
              <a:cs typeface="Arial" pitchFamily="34" charset="0"/>
            </a:endParaRPr>
          </a:p>
        </c:rich>
      </c:tx>
      <c:layout/>
    </c:title>
    <c:plotArea>
      <c:layout/>
      <c:barChart>
        <c:barDir val="col"/>
        <c:grouping val="clustered"/>
        <c:ser>
          <c:idx val="0"/>
          <c:order val="0"/>
          <c:tx>
            <c:strRef>
              <c:f>'fig 8'!$C$20</c:f>
              <c:strCache>
                <c:ptCount val="1"/>
                <c:pt idx="0">
                  <c:v>First Quarter 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dLbls>
            <c:dLbl>
              <c:idx val="1"/>
              <c:layout>
                <c:manualLayout>
                  <c:x val="-1.1080332409972301E-2"/>
                  <c:y val="3.2843308379556096E-3"/>
                </c:manualLayout>
              </c:layout>
              <c:dLblPos val="outEnd"/>
              <c:showVal val="1"/>
            </c:dLbl>
            <c:dLbl>
              <c:idx val="4"/>
              <c:layout>
                <c:manualLayout>
                  <c:x val="-9.2139780254604699E-3"/>
                  <c:y val="6.5686616759111534E-3"/>
                </c:manualLayout>
              </c:layout>
              <c:dLblPos val="outEnd"/>
              <c:showVal val="1"/>
            </c:dLbl>
            <c:dLbl>
              <c:idx val="9"/>
              <c:layout>
                <c:manualLayout>
                  <c:x val="-5.5283868152762785E-3"/>
                  <c:y val="1.6420361247947501E-2"/>
                </c:manualLayout>
              </c:layout>
              <c:dLblPos val="outEnd"/>
              <c:showVal val="1"/>
            </c:dLbl>
            <c:dLbl>
              <c:idx val="13"/>
              <c:layout>
                <c:manualLayout>
                  <c:x val="0"/>
                  <c:y val="1.3136288998357963E-2"/>
                </c:manualLayout>
              </c:layout>
              <c:dLblPos val="outEnd"/>
              <c:showVal val="1"/>
            </c:dLbl>
            <c:dLbl>
              <c:idx val="15"/>
              <c:layout>
                <c:manualLayout>
                  <c:x val="-5.5283868152762785E-3"/>
                  <c:y val="1.3136288998357963E-2"/>
                </c:manualLayout>
              </c:layout>
              <c:dLblPos val="outEnd"/>
              <c:showVal val="1"/>
            </c:dLbl>
            <c:txPr>
              <a:bodyPr/>
              <a:lstStyle/>
              <a:p>
                <a:pPr>
                  <a:defRPr lang="en-PH" sz="600"/>
                </a:pPr>
                <a:endParaRPr lang="en-US"/>
              </a:p>
            </c:txPr>
            <c:dLblPos val="outEnd"/>
            <c:showVal val="1"/>
          </c:dLbls>
          <c:cat>
            <c:strRef>
              <c:f>'fig 8'!$B$21:$B$36</c:f>
              <c:strCache>
                <c:ptCount val="16"/>
                <c:pt idx="0">
                  <c:v>NCR</c:v>
                </c:pt>
                <c:pt idx="1">
                  <c:v>I</c:v>
                </c:pt>
                <c:pt idx="2">
                  <c:v>II</c:v>
                </c:pt>
                <c:pt idx="3">
                  <c:v>III</c:v>
                </c:pt>
                <c:pt idx="4">
                  <c:v>IVa</c:v>
                </c:pt>
                <c:pt idx="5">
                  <c:v>MIMAROPA</c:v>
                </c:pt>
                <c:pt idx="6">
                  <c:v>V</c:v>
                </c:pt>
                <c:pt idx="7">
                  <c:v>VI</c:v>
                </c:pt>
                <c:pt idx="8">
                  <c:v>VII</c:v>
                </c:pt>
                <c:pt idx="9">
                  <c:v>VIII</c:v>
                </c:pt>
                <c:pt idx="10">
                  <c:v>IX</c:v>
                </c:pt>
                <c:pt idx="11">
                  <c:v>X</c:v>
                </c:pt>
                <c:pt idx="12">
                  <c:v>XI</c:v>
                </c:pt>
                <c:pt idx="13">
                  <c:v>XII</c:v>
                </c:pt>
                <c:pt idx="14">
                  <c:v>Caraga</c:v>
                </c:pt>
                <c:pt idx="15">
                  <c:v>ARMM</c:v>
                </c:pt>
              </c:strCache>
            </c:strRef>
          </c:cat>
          <c:val>
            <c:numRef>
              <c:f>'fig 8'!$C$21:$C$36</c:f>
              <c:numCache>
                <c:formatCode>#,##0.00_);\(#,##0.00\)</c:formatCode>
                <c:ptCount val="16"/>
                <c:pt idx="0">
                  <c:v>25.550263999999999</c:v>
                </c:pt>
                <c:pt idx="1">
                  <c:v>-0.89840999999999982</c:v>
                </c:pt>
                <c:pt idx="2">
                  <c:v>-5.3370000000000015E-3</c:v>
                </c:pt>
                <c:pt idx="3">
                  <c:v>8.8472609999999996</c:v>
                </c:pt>
                <c:pt idx="4">
                  <c:v>-4.4471643709999986</c:v>
                </c:pt>
                <c:pt idx="5">
                  <c:v>-3.7198547680000011</c:v>
                </c:pt>
                <c:pt idx="6">
                  <c:v>1.5551159999999999</c:v>
                </c:pt>
                <c:pt idx="7">
                  <c:v>-1.9937659999999999</c:v>
                </c:pt>
                <c:pt idx="8">
                  <c:v>-3.3522809999999987</c:v>
                </c:pt>
                <c:pt idx="9">
                  <c:v>13.435564000000003</c:v>
                </c:pt>
                <c:pt idx="10">
                  <c:v>-6.5629749999999962</c:v>
                </c:pt>
                <c:pt idx="11">
                  <c:v>-0.86396499999999998</c:v>
                </c:pt>
                <c:pt idx="12">
                  <c:v>-4.434634</c:v>
                </c:pt>
                <c:pt idx="13">
                  <c:v>0.12193500000000003</c:v>
                </c:pt>
                <c:pt idx="14">
                  <c:v>-24.494571000000001</c:v>
                </c:pt>
                <c:pt idx="15">
                  <c:v>1.2628170000000001</c:v>
                </c:pt>
              </c:numCache>
            </c:numRef>
          </c:val>
        </c:ser>
        <c:ser>
          <c:idx val="1"/>
          <c:order val="1"/>
          <c:tx>
            <c:strRef>
              <c:f>'fig 8'!$D$20</c:f>
              <c:strCache>
                <c:ptCount val="1"/>
                <c:pt idx="0">
                  <c:v>First Quarter 2018</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dLbls>
            <c:dLbl>
              <c:idx val="0"/>
              <c:layout>
                <c:manualLayout>
                  <c:x val="9.2336103416435829E-3"/>
                  <c:y val="6.5681444991789817E-3"/>
                </c:manualLayout>
              </c:layout>
              <c:dLblPos val="outEnd"/>
              <c:showVal val="1"/>
            </c:dLbl>
            <c:dLbl>
              <c:idx val="2"/>
              <c:layout>
                <c:manualLayout>
                  <c:x val="1.4773776546629733E-2"/>
                  <c:y val="7.7576509838843626E-7"/>
                </c:manualLayout>
              </c:layout>
              <c:dLblPos val="outEnd"/>
              <c:showVal val="1"/>
            </c:dLbl>
            <c:dLbl>
              <c:idx val="3"/>
              <c:layout>
                <c:manualLayout>
                  <c:x val="3.3856180143211258E-17"/>
                  <c:y val="1.6420361247947501E-2"/>
                </c:manualLayout>
              </c:layout>
              <c:dLblPos val="outEnd"/>
              <c:showVal val="1"/>
            </c:dLbl>
            <c:dLbl>
              <c:idx val="5"/>
              <c:layout>
                <c:manualLayout>
                  <c:x val="1.4742364840736761E-2"/>
                  <c:y val="3.2840722495895E-3"/>
                </c:manualLayout>
              </c:layout>
              <c:dLblPos val="outEnd"/>
              <c:showVal val="1"/>
            </c:dLbl>
            <c:dLbl>
              <c:idx val="6"/>
              <c:layout>
                <c:manualLayout>
                  <c:x val="9.2336103416435829E-3"/>
                  <c:y val="1.6420361247947501E-2"/>
                </c:manualLayout>
              </c:layout>
              <c:dLblPos val="outEnd"/>
              <c:showVal val="1"/>
            </c:dLbl>
            <c:dLbl>
              <c:idx val="9"/>
              <c:layout>
                <c:manualLayout>
                  <c:x val="3.6855912101841953E-3"/>
                  <c:y val="6.5681444991790121E-3"/>
                </c:manualLayout>
              </c:layout>
              <c:dLblPos val="outEnd"/>
              <c:showVal val="1"/>
            </c:dLbl>
            <c:dLbl>
              <c:idx val="10"/>
              <c:layout>
                <c:manualLayout>
                  <c:x val="1.289956923564466E-2"/>
                  <c:y val="0"/>
                </c:manualLayout>
              </c:layout>
              <c:dLblPos val="outEnd"/>
              <c:showVal val="1"/>
            </c:dLbl>
            <c:dLbl>
              <c:idx val="13"/>
              <c:layout>
                <c:manualLayout>
                  <c:x val="7.3711824203683838E-3"/>
                  <c:y val="1.3136288998357963E-2"/>
                </c:manualLayout>
              </c:layout>
              <c:dLblPos val="outEnd"/>
              <c:showVal val="1"/>
            </c:dLbl>
            <c:dLbl>
              <c:idx val="14"/>
              <c:layout>
                <c:manualLayout>
                  <c:x val="1.4742364840736761E-2"/>
                  <c:y val="0"/>
                </c:manualLayout>
              </c:layout>
              <c:dLblPos val="outEnd"/>
              <c:showVal val="1"/>
            </c:dLbl>
            <c:dLbl>
              <c:idx val="15"/>
              <c:layout>
                <c:manualLayout>
                  <c:x val="7.3711824203683838E-3"/>
                  <c:y val="1.3136288998357963E-2"/>
                </c:manualLayout>
              </c:layout>
              <c:dLblPos val="outEnd"/>
              <c:showVal val="1"/>
            </c:dLbl>
            <c:txPr>
              <a:bodyPr/>
              <a:lstStyle/>
              <a:p>
                <a:pPr>
                  <a:defRPr lang="en-PH" sz="600"/>
                </a:pPr>
                <a:endParaRPr lang="en-US"/>
              </a:p>
            </c:txPr>
            <c:dLblPos val="outEnd"/>
            <c:showVal val="1"/>
          </c:dLbls>
          <c:cat>
            <c:strRef>
              <c:f>'fig 8'!$B$21:$B$36</c:f>
              <c:strCache>
                <c:ptCount val="16"/>
                <c:pt idx="0">
                  <c:v>NCR</c:v>
                </c:pt>
                <c:pt idx="1">
                  <c:v>I</c:v>
                </c:pt>
                <c:pt idx="2">
                  <c:v>II</c:v>
                </c:pt>
                <c:pt idx="3">
                  <c:v>III</c:v>
                </c:pt>
                <c:pt idx="4">
                  <c:v>IVa</c:v>
                </c:pt>
                <c:pt idx="5">
                  <c:v>MIMAROPA</c:v>
                </c:pt>
                <c:pt idx="6">
                  <c:v>V</c:v>
                </c:pt>
                <c:pt idx="7">
                  <c:v>VI</c:v>
                </c:pt>
                <c:pt idx="8">
                  <c:v>VII</c:v>
                </c:pt>
                <c:pt idx="9">
                  <c:v>VIII</c:v>
                </c:pt>
                <c:pt idx="10">
                  <c:v>IX</c:v>
                </c:pt>
                <c:pt idx="11">
                  <c:v>X</c:v>
                </c:pt>
                <c:pt idx="12">
                  <c:v>XI</c:v>
                </c:pt>
                <c:pt idx="13">
                  <c:v>XII</c:v>
                </c:pt>
                <c:pt idx="14">
                  <c:v>Caraga</c:v>
                </c:pt>
                <c:pt idx="15">
                  <c:v>ARMM</c:v>
                </c:pt>
              </c:strCache>
            </c:strRef>
          </c:cat>
          <c:val>
            <c:numRef>
              <c:f>'fig 8'!$D$21:$D$36</c:f>
              <c:numCache>
                <c:formatCode>#,##0.00_);\(#,##0.00\)</c:formatCode>
                <c:ptCount val="16"/>
                <c:pt idx="0">
                  <c:v>12.597527000000001</c:v>
                </c:pt>
                <c:pt idx="1">
                  <c:v>-0.36906800000000012</c:v>
                </c:pt>
                <c:pt idx="2">
                  <c:v>-3.6870000000000019E-3</c:v>
                </c:pt>
                <c:pt idx="3">
                  <c:v>8.6821700000000011</c:v>
                </c:pt>
                <c:pt idx="4">
                  <c:v>-4.1942889999999986</c:v>
                </c:pt>
                <c:pt idx="5">
                  <c:v>-3.2624840000000002</c:v>
                </c:pt>
                <c:pt idx="6">
                  <c:v>0.20764600000000005</c:v>
                </c:pt>
                <c:pt idx="7">
                  <c:v>1.3135359999999998</c:v>
                </c:pt>
                <c:pt idx="8">
                  <c:v>4.2524670000000002</c:v>
                </c:pt>
                <c:pt idx="9">
                  <c:v>16.551971000000016</c:v>
                </c:pt>
                <c:pt idx="10">
                  <c:v>-6.172803</c:v>
                </c:pt>
                <c:pt idx="11">
                  <c:v>-7.4730920000000021</c:v>
                </c:pt>
                <c:pt idx="12">
                  <c:v>0.61630300000000005</c:v>
                </c:pt>
                <c:pt idx="13">
                  <c:v>1.204</c:v>
                </c:pt>
                <c:pt idx="14">
                  <c:v>-25.430333999999984</c:v>
                </c:pt>
                <c:pt idx="15">
                  <c:v>1.4801389999999999</c:v>
                </c:pt>
              </c:numCache>
            </c:numRef>
          </c:val>
        </c:ser>
        <c:gapWidth val="50"/>
        <c:axId val="72656768"/>
        <c:axId val="72683520"/>
      </c:barChart>
      <c:catAx>
        <c:axId val="72656768"/>
        <c:scaling>
          <c:orientation val="minMax"/>
        </c:scaling>
        <c:axPos val="b"/>
        <c:title>
          <c:tx>
            <c:rich>
              <a:bodyPr/>
              <a:lstStyle/>
              <a:p>
                <a:pPr>
                  <a:defRPr lang="en-PH"/>
                </a:pPr>
                <a:r>
                  <a:rPr lang="en-US"/>
                  <a:t>Region</a:t>
                </a:r>
              </a:p>
            </c:rich>
          </c:tx>
          <c:layout/>
        </c:title>
        <c:tickLblPos val="low"/>
        <c:txPr>
          <a:bodyPr/>
          <a:lstStyle/>
          <a:p>
            <a:pPr>
              <a:defRPr lang="en-PH"/>
            </a:pPr>
            <a:endParaRPr lang="en-US"/>
          </a:p>
        </c:txPr>
        <c:crossAx val="72683520"/>
        <c:crosses val="autoZero"/>
        <c:auto val="1"/>
        <c:lblAlgn val="ctr"/>
        <c:lblOffset val="100"/>
      </c:catAx>
      <c:valAx>
        <c:axId val="72683520"/>
        <c:scaling>
          <c:orientation val="minMax"/>
        </c:scaling>
        <c:axPos val="l"/>
        <c:title>
          <c:tx>
            <c:rich>
              <a:bodyPr rot="-5400000" vert="horz"/>
              <a:lstStyle/>
              <a:p>
                <a:pPr>
                  <a:defRPr lang="en-PH"/>
                </a:pPr>
                <a:r>
                  <a:rPr lang="en-US"/>
                  <a:t>In Billion Pesos</a:t>
                </a:r>
              </a:p>
            </c:rich>
          </c:tx>
          <c:layout/>
        </c:title>
        <c:numFmt formatCode="#,##0.00_);\(#,##0.00\)" sourceLinked="1"/>
        <c:majorTickMark val="none"/>
        <c:minorTickMark val="out"/>
        <c:tickLblPos val="nextTo"/>
        <c:txPr>
          <a:bodyPr/>
          <a:lstStyle/>
          <a:p>
            <a:pPr>
              <a:defRPr lang="en-PH"/>
            </a:pPr>
            <a:endParaRPr lang="en-US"/>
          </a:p>
        </c:txPr>
        <c:crossAx val="72656768"/>
        <c:crosses val="autoZero"/>
        <c:crossBetween val="between"/>
      </c:valAx>
    </c:plotArea>
    <c:legend>
      <c:legendPos val="t"/>
      <c:layout/>
      <c:txPr>
        <a:bodyPr/>
        <a:lstStyle/>
        <a:p>
          <a:pPr>
            <a:defRPr lang="en-PH"/>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B052-4E96-4728-A8BD-C4D285D7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7567</CharactersWithSpaces>
  <SharedDoc>false</SharedDoc>
  <HLinks>
    <vt:vector size="6" baseType="variant">
      <vt:variant>
        <vt:i4>4522103</vt:i4>
      </vt:variant>
      <vt:variant>
        <vt:i4>0</vt:i4>
      </vt:variant>
      <vt:variant>
        <vt:i4>0</vt:i4>
      </vt:variant>
      <vt:variant>
        <vt:i4>5</vt:i4>
      </vt:variant>
      <vt:variant>
        <vt:lpwstr>mailto:psaregion10@gmail.com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mick26</dc:creator>
  <cp:lastModifiedBy>Jessie</cp:lastModifiedBy>
  <cp:revision>41</cp:revision>
  <cp:lastPrinted>2019-09-17T05:09:00Z</cp:lastPrinted>
  <dcterms:created xsi:type="dcterms:W3CDTF">2019-09-16T07:57:00Z</dcterms:created>
  <dcterms:modified xsi:type="dcterms:W3CDTF">2019-11-14T00:09:00Z</dcterms:modified>
</cp:coreProperties>
</file>